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bCs/>
          <w:sz w:val="44"/>
          <w:szCs w:val="44"/>
        </w:rPr>
      </w:pPr>
      <w:bookmarkStart w:id="0" w:name="_GoBack"/>
      <w:bookmarkEnd w:id="0"/>
      <w:r>
        <w:rPr>
          <w:rFonts w:ascii="黑体" w:hAnsi="黑体" w:eastAsia="黑体" w:cs="黑体"/>
          <w:b/>
          <w:bCs/>
          <w:sz w:val="44"/>
          <w:szCs w:val="44"/>
        </w:rPr>
        <w:t>202</w:t>
      </w:r>
      <w:r>
        <w:rPr>
          <w:rFonts w:hint="eastAsia" w:ascii="黑体" w:hAnsi="黑体" w:eastAsia="黑体" w:cs="黑体"/>
          <w:b/>
          <w:bCs/>
          <w:sz w:val="44"/>
          <w:szCs w:val="44"/>
        </w:rPr>
        <w:t>3年度江苏省科学技术奖的公示内容</w:t>
      </w:r>
    </w:p>
    <w:p>
      <w:pPr>
        <w:rPr>
          <w:rFonts w:ascii="宋体" w:hAnsi="宋体" w:eastAsia="宋体"/>
          <w:b/>
          <w:bCs/>
          <w:sz w:val="24"/>
          <w:szCs w:val="28"/>
        </w:rPr>
      </w:pPr>
      <w:r>
        <w:rPr>
          <w:rFonts w:hint="eastAsia" w:ascii="宋体" w:hAnsi="宋体" w:eastAsia="宋体"/>
          <w:b/>
          <w:bCs/>
          <w:sz w:val="24"/>
          <w:szCs w:val="28"/>
        </w:rPr>
        <w:t>1、项目名称：</w:t>
      </w:r>
      <w:r>
        <w:rPr>
          <w:rFonts w:ascii="Times New Roman" w:hAnsi="Times New Roman" w:eastAsia="宋体" w:cs="Times New Roman"/>
          <w:b/>
          <w:bCs/>
          <w:sz w:val="24"/>
          <w:szCs w:val="28"/>
        </w:rPr>
        <w:t>多巴胺D2受体/β-arrestin2偏爱型通路在帕金森病发生中的作用及治疗新策略</w:t>
      </w:r>
    </w:p>
    <w:p>
      <w:pPr>
        <w:rPr>
          <w:rFonts w:ascii="宋体" w:hAnsi="宋体" w:eastAsia="宋体"/>
          <w:sz w:val="24"/>
          <w:szCs w:val="28"/>
        </w:rPr>
      </w:pPr>
      <w:r>
        <w:rPr>
          <w:rFonts w:hint="eastAsia" w:ascii="宋体" w:hAnsi="宋体" w:eastAsia="宋体"/>
          <w:b/>
          <w:bCs/>
          <w:sz w:val="24"/>
          <w:szCs w:val="28"/>
        </w:rPr>
        <w:t>2、提名单位：南京医科大学</w:t>
      </w:r>
    </w:p>
    <w:p>
      <w:pPr>
        <w:rPr>
          <w:rFonts w:ascii="宋体" w:hAnsi="宋体" w:eastAsia="宋体"/>
          <w:b/>
          <w:bCs/>
          <w:sz w:val="24"/>
          <w:szCs w:val="28"/>
        </w:rPr>
      </w:pPr>
      <w:r>
        <w:rPr>
          <w:rFonts w:hint="eastAsia" w:ascii="宋体" w:hAnsi="宋体" w:eastAsia="宋体"/>
          <w:b/>
          <w:bCs/>
          <w:sz w:val="24"/>
          <w:szCs w:val="28"/>
        </w:rPr>
        <w:t>3、主要</w:t>
      </w:r>
      <w:r>
        <w:rPr>
          <w:rFonts w:ascii="宋体" w:hAnsi="宋体" w:eastAsia="宋体"/>
          <w:b/>
          <w:bCs/>
          <w:sz w:val="24"/>
          <w:szCs w:val="28"/>
        </w:rPr>
        <w:t>完成人：胡刚、周嘉伟、伟尧、方吟荃、丁建花、范益、朱佳蕾</w:t>
      </w:r>
    </w:p>
    <w:p>
      <w:pPr>
        <w:rPr>
          <w:rFonts w:ascii="宋体" w:hAnsi="宋体" w:eastAsia="宋体"/>
          <w:b/>
          <w:bCs/>
          <w:sz w:val="24"/>
          <w:szCs w:val="28"/>
        </w:rPr>
      </w:pPr>
      <w:r>
        <w:rPr>
          <w:rFonts w:hint="eastAsia" w:ascii="宋体" w:hAnsi="宋体" w:eastAsia="宋体"/>
          <w:b/>
          <w:bCs/>
          <w:sz w:val="24"/>
          <w:szCs w:val="28"/>
        </w:rPr>
        <w:t>4、主要完成</w:t>
      </w:r>
      <w:r>
        <w:rPr>
          <w:rFonts w:ascii="宋体" w:hAnsi="宋体" w:eastAsia="宋体"/>
          <w:b/>
          <w:bCs/>
          <w:sz w:val="24"/>
          <w:szCs w:val="28"/>
        </w:rPr>
        <w:t>单位：</w:t>
      </w:r>
      <w:r>
        <w:rPr>
          <w:rFonts w:hint="eastAsia" w:ascii="宋体" w:hAnsi="宋体" w:eastAsia="宋体"/>
          <w:b/>
          <w:bCs/>
          <w:sz w:val="24"/>
          <w:szCs w:val="28"/>
        </w:rPr>
        <w:t>南京医科大学、中国科学院脑科学与智能技术卓越创新中心、南京中医药大学</w:t>
      </w:r>
    </w:p>
    <w:p>
      <w:pPr>
        <w:rPr>
          <w:rFonts w:ascii="宋体" w:hAnsi="宋体" w:eastAsia="宋体"/>
          <w:b/>
          <w:bCs/>
          <w:sz w:val="24"/>
          <w:szCs w:val="28"/>
        </w:rPr>
      </w:pPr>
      <w:r>
        <w:rPr>
          <w:rFonts w:hint="eastAsia" w:ascii="宋体" w:hAnsi="宋体" w:eastAsia="宋体"/>
          <w:b/>
          <w:bCs/>
          <w:sz w:val="24"/>
          <w:szCs w:val="28"/>
        </w:rPr>
        <w:t>5、代表性论文：</w:t>
      </w:r>
    </w:p>
    <w:tbl>
      <w:tblPr>
        <w:tblStyle w:val="16"/>
        <w:tblW w:w="8396" w:type="dxa"/>
        <w:jc w:val="center"/>
        <w:tblLayout w:type="fixed"/>
        <w:tblCellMar>
          <w:top w:w="0" w:type="dxa"/>
          <w:left w:w="108" w:type="dxa"/>
          <w:bottom w:w="0" w:type="dxa"/>
          <w:right w:w="108" w:type="dxa"/>
        </w:tblCellMar>
      </w:tblPr>
      <w:tblGrid>
        <w:gridCol w:w="612"/>
        <w:gridCol w:w="2204"/>
        <w:gridCol w:w="1485"/>
        <w:gridCol w:w="1288"/>
        <w:gridCol w:w="1364"/>
        <w:gridCol w:w="1443"/>
      </w:tblGrid>
      <w:tr>
        <w:tblPrEx>
          <w:tblCellMar>
            <w:top w:w="0" w:type="dxa"/>
            <w:left w:w="108" w:type="dxa"/>
            <w:bottom w:w="0" w:type="dxa"/>
            <w:right w:w="108" w:type="dxa"/>
          </w:tblCellMar>
        </w:tblPrEx>
        <w:trPr>
          <w:trHeight w:val="567" w:hRule="atLeast"/>
          <w:jc w:val="center"/>
        </w:trPr>
        <w:tc>
          <w:tcPr>
            <w:tcW w:w="612" w:type="dxa"/>
            <w:tcBorders>
              <w:top w:val="single" w:color="auto" w:sz="4" w:space="0"/>
              <w:left w:val="single" w:color="auto" w:sz="4" w:space="0"/>
              <w:bottom w:val="single" w:color="auto" w:sz="4" w:space="0"/>
              <w:right w:val="single" w:color="auto" w:sz="4" w:space="0"/>
            </w:tcBorders>
            <w:vAlign w:val="center"/>
          </w:tcPr>
          <w:p>
            <w:pPr>
              <w:adjustRightInd w:val="0"/>
              <w:spacing w:line="3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序号</w:t>
            </w:r>
          </w:p>
        </w:tc>
        <w:tc>
          <w:tcPr>
            <w:tcW w:w="2204" w:type="dxa"/>
            <w:tcBorders>
              <w:top w:val="single" w:color="auto" w:sz="4" w:space="0"/>
              <w:left w:val="single" w:color="auto" w:sz="4" w:space="0"/>
              <w:bottom w:val="single" w:color="auto" w:sz="4" w:space="0"/>
              <w:right w:val="single" w:color="auto" w:sz="4" w:space="0"/>
            </w:tcBorders>
            <w:vAlign w:val="center"/>
          </w:tcPr>
          <w:p>
            <w:pPr>
              <w:adjustRightInd w:val="0"/>
              <w:spacing w:line="3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论文论著名称</w:t>
            </w:r>
          </w:p>
          <w:p>
            <w:pPr>
              <w:adjustRightInd w:val="0"/>
              <w:spacing w:line="3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/刊名/作者</w:t>
            </w:r>
          </w:p>
        </w:tc>
        <w:tc>
          <w:tcPr>
            <w:tcW w:w="1485" w:type="dxa"/>
            <w:tcBorders>
              <w:top w:val="single" w:color="auto" w:sz="4" w:space="0"/>
              <w:left w:val="single" w:color="auto" w:sz="4" w:space="0"/>
              <w:bottom w:val="single" w:color="auto" w:sz="4" w:space="0"/>
              <w:right w:val="single" w:color="auto" w:sz="4" w:space="0"/>
            </w:tcBorders>
            <w:vAlign w:val="center"/>
          </w:tcPr>
          <w:p>
            <w:pPr>
              <w:adjustRightInd w:val="0"/>
              <w:spacing w:line="3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年卷页码（XX年XX卷XX页）</w:t>
            </w:r>
          </w:p>
        </w:tc>
        <w:tc>
          <w:tcPr>
            <w:tcW w:w="1288" w:type="dxa"/>
            <w:tcBorders>
              <w:top w:val="single" w:color="auto" w:sz="4" w:space="0"/>
              <w:left w:val="single" w:color="auto" w:sz="4" w:space="0"/>
              <w:bottom w:val="single" w:color="auto" w:sz="4" w:space="0"/>
              <w:right w:val="single" w:color="auto" w:sz="4" w:space="0"/>
            </w:tcBorders>
            <w:vAlign w:val="center"/>
          </w:tcPr>
          <w:p>
            <w:pPr>
              <w:adjustRightInd w:val="0"/>
              <w:spacing w:line="3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发表时间</w:t>
            </w:r>
          </w:p>
          <w:p>
            <w:pPr>
              <w:adjustRightInd w:val="0"/>
              <w:spacing w:line="3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（年月日）</w:t>
            </w:r>
          </w:p>
        </w:tc>
        <w:tc>
          <w:tcPr>
            <w:tcW w:w="1364" w:type="dxa"/>
            <w:tcBorders>
              <w:top w:val="single" w:color="auto" w:sz="4" w:space="0"/>
              <w:left w:val="single" w:color="auto" w:sz="4" w:space="0"/>
              <w:bottom w:val="single" w:color="auto" w:sz="4" w:space="0"/>
              <w:right w:val="single" w:color="auto" w:sz="4" w:space="0"/>
            </w:tcBorders>
            <w:vAlign w:val="center"/>
          </w:tcPr>
          <w:p>
            <w:pPr>
              <w:adjustRightInd w:val="0"/>
              <w:spacing w:line="3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通讯作者</w:t>
            </w:r>
          </w:p>
        </w:tc>
        <w:tc>
          <w:tcPr>
            <w:tcW w:w="1443" w:type="dxa"/>
            <w:tcBorders>
              <w:top w:val="single" w:color="auto" w:sz="4" w:space="0"/>
              <w:left w:val="single" w:color="auto" w:sz="4" w:space="0"/>
              <w:bottom w:val="single" w:color="auto" w:sz="4" w:space="0"/>
              <w:right w:val="single" w:color="auto" w:sz="4" w:space="0"/>
            </w:tcBorders>
            <w:vAlign w:val="center"/>
          </w:tcPr>
          <w:p>
            <w:pPr>
              <w:adjustRightInd w:val="0"/>
              <w:spacing w:line="3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第一作者</w:t>
            </w:r>
          </w:p>
        </w:tc>
      </w:tr>
      <w:tr>
        <w:tblPrEx>
          <w:tblCellMar>
            <w:top w:w="0" w:type="dxa"/>
            <w:left w:w="108" w:type="dxa"/>
            <w:bottom w:w="0" w:type="dxa"/>
            <w:right w:w="108" w:type="dxa"/>
          </w:tblCellMar>
        </w:tblPrEx>
        <w:trPr>
          <w:trHeight w:val="567" w:hRule="atLeast"/>
          <w:jc w:val="center"/>
        </w:trPr>
        <w:tc>
          <w:tcPr>
            <w:tcW w:w="612"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jc w:val="center"/>
              <w:rPr>
                <w:rFonts w:ascii="Times New Roman" w:hAnsi="Times New Roman" w:eastAsia="宋体" w:cs="Times New Roman"/>
                <w:sz w:val="21"/>
                <w:szCs w:val="21"/>
              </w:rPr>
            </w:pPr>
            <w:r>
              <w:rPr>
                <w:rFonts w:ascii="Times New Roman" w:hAnsi="Times New Roman" w:cs="Times New Roman"/>
              </w:rPr>
              <w:t>1</w:t>
            </w:r>
          </w:p>
        </w:tc>
        <w:tc>
          <w:tcPr>
            <w:tcW w:w="2204"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rPr>
                <w:rFonts w:ascii="Times New Roman" w:hAnsi="Times New Roman" w:eastAsia="宋体" w:cs="Times New Roman"/>
                <w:sz w:val="21"/>
                <w:szCs w:val="21"/>
              </w:rPr>
            </w:pPr>
            <w:r>
              <w:rPr>
                <w:rFonts w:ascii="Times New Roman" w:hAnsi="Times New Roman" w:cs="Times New Roman"/>
              </w:rPr>
              <w:t>Suppression of neuroinflammation by astrocytic dopamine D2 receptors via αB-crystallin/Nature/Wei Shao, Shuzhen Zhang, Mi Tang, Xinhua Zhang, Zheng Zhou, Yanqing Yin, Qinbo Zhou, Yuanyuan Huang, Yingjun Liu, Eric Wawrousek, Teng Chen, Shengbin Li, Ming Xu, Jiangning Zhou, Gang Hu, Jiawei Zhou</w:t>
            </w:r>
          </w:p>
        </w:tc>
        <w:tc>
          <w:tcPr>
            <w:tcW w:w="1485"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rPr>
                <w:rFonts w:ascii="Times New Roman" w:hAnsi="Times New Roman" w:eastAsia="宋体" w:cs="Times New Roman"/>
                <w:sz w:val="21"/>
                <w:szCs w:val="21"/>
              </w:rPr>
            </w:pPr>
            <w:r>
              <w:rPr>
                <w:rFonts w:ascii="Times New Roman" w:hAnsi="Times New Roman" w:cs="Times New Roman"/>
              </w:rPr>
              <w:t>2013年494卷90-94页</w:t>
            </w:r>
          </w:p>
        </w:tc>
        <w:tc>
          <w:tcPr>
            <w:tcW w:w="1288"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jc w:val="center"/>
              <w:rPr>
                <w:rFonts w:ascii="Times New Roman" w:hAnsi="Times New Roman" w:eastAsia="宋体" w:cs="Times New Roman"/>
                <w:sz w:val="21"/>
                <w:szCs w:val="21"/>
              </w:rPr>
            </w:pPr>
            <w:r>
              <w:rPr>
                <w:rFonts w:ascii="Times New Roman" w:hAnsi="Times New Roman" w:cs="Times New Roman"/>
              </w:rPr>
              <w:t>2013年2月7日</w:t>
            </w:r>
          </w:p>
        </w:tc>
        <w:tc>
          <w:tcPr>
            <w:tcW w:w="1364" w:type="dxa"/>
            <w:tcBorders>
              <w:top w:val="single" w:color="auto" w:sz="4" w:space="0"/>
              <w:left w:val="single" w:color="auto" w:sz="4" w:space="0"/>
              <w:bottom w:val="single" w:color="auto" w:sz="4" w:space="0"/>
              <w:right w:val="single" w:color="auto" w:sz="4" w:space="0"/>
            </w:tcBorders>
            <w:vAlign w:val="center"/>
          </w:tcPr>
          <w:p>
            <w:pPr>
              <w:pStyle w:val="11"/>
              <w:spacing w:line="240" w:lineRule="exact"/>
              <w:ind w:firstLine="0" w:firstLineChars="0"/>
              <w:jc w:val="center"/>
            </w:pPr>
            <w:r>
              <w:t>Jiawei Zhou</w:t>
            </w:r>
          </w:p>
        </w:tc>
        <w:tc>
          <w:tcPr>
            <w:tcW w:w="1443"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rPr>
                <w:rFonts w:ascii="Times New Roman" w:hAnsi="Times New Roman" w:eastAsia="宋体" w:cs="Times New Roman"/>
                <w:sz w:val="21"/>
                <w:szCs w:val="21"/>
              </w:rPr>
            </w:pPr>
            <w:r>
              <w:rPr>
                <w:rFonts w:ascii="Times New Roman" w:hAnsi="Times New Roman" w:cs="Times New Roman"/>
              </w:rPr>
              <w:t>Wei Shao, Shuzhen Zhang</w:t>
            </w:r>
          </w:p>
        </w:tc>
      </w:tr>
      <w:tr>
        <w:tblPrEx>
          <w:tblCellMar>
            <w:top w:w="0" w:type="dxa"/>
            <w:left w:w="108" w:type="dxa"/>
            <w:bottom w:w="0" w:type="dxa"/>
            <w:right w:w="108" w:type="dxa"/>
          </w:tblCellMar>
        </w:tblPrEx>
        <w:trPr>
          <w:trHeight w:val="567" w:hRule="atLeast"/>
          <w:jc w:val="center"/>
        </w:trPr>
        <w:tc>
          <w:tcPr>
            <w:tcW w:w="612"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jc w:val="center"/>
              <w:rPr>
                <w:rFonts w:ascii="Times New Roman" w:hAnsi="Times New Roman" w:eastAsia="宋体" w:cs="Times New Roman"/>
                <w:sz w:val="21"/>
                <w:szCs w:val="21"/>
              </w:rPr>
            </w:pPr>
            <w:r>
              <w:rPr>
                <w:rFonts w:ascii="Times New Roman" w:hAnsi="Times New Roman" w:cs="Times New Roman"/>
              </w:rPr>
              <w:t>2</w:t>
            </w:r>
          </w:p>
        </w:tc>
        <w:tc>
          <w:tcPr>
            <w:tcW w:w="2204"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rPr>
                <w:rFonts w:ascii="Times New Roman" w:hAnsi="Times New Roman" w:eastAsia="宋体" w:cs="Times New Roman"/>
                <w:sz w:val="21"/>
                <w:szCs w:val="21"/>
              </w:rPr>
            </w:pPr>
            <w:r>
              <w:rPr>
                <w:rFonts w:ascii="Times New Roman" w:hAnsi="Times New Roman" w:cs="Times New Roman"/>
              </w:rPr>
              <w:t>Dopamine D2 receptor restricts astrocytic NLRP3 inflammasome activation via enhancing the interaction of β-arrestin2 and NLRP3/Cell Death &amp; Differentiation/Jialei Zhu, Zhaoli Hu, Xiaojuan Han, Dongshuo Wang, Qingling Jiang, Jianhua Ding, Ming Xiao, Cong Wang, Ming Lu, Gang Hu</w:t>
            </w:r>
          </w:p>
        </w:tc>
        <w:tc>
          <w:tcPr>
            <w:tcW w:w="1485"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rPr>
                <w:rFonts w:ascii="Times New Roman" w:hAnsi="Times New Roman" w:eastAsia="宋体" w:cs="Times New Roman"/>
                <w:sz w:val="21"/>
                <w:szCs w:val="21"/>
              </w:rPr>
            </w:pPr>
            <w:r>
              <w:rPr>
                <w:rFonts w:ascii="Times New Roman" w:hAnsi="Times New Roman" w:cs="Times New Roman"/>
              </w:rPr>
              <w:t>2018年25卷2037-2049页</w:t>
            </w:r>
          </w:p>
        </w:tc>
        <w:tc>
          <w:tcPr>
            <w:tcW w:w="1288"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jc w:val="center"/>
              <w:rPr>
                <w:rFonts w:ascii="Times New Roman" w:hAnsi="Times New Roman" w:eastAsia="宋体" w:cs="Times New Roman"/>
                <w:sz w:val="21"/>
                <w:szCs w:val="21"/>
              </w:rPr>
            </w:pPr>
            <w:r>
              <w:rPr>
                <w:rFonts w:ascii="Times New Roman" w:hAnsi="Times New Roman" w:cs="Times New Roman"/>
              </w:rPr>
              <w:t>2018年11月</w:t>
            </w:r>
          </w:p>
        </w:tc>
        <w:tc>
          <w:tcPr>
            <w:tcW w:w="1364"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rPr>
                <w:rFonts w:ascii="Times New Roman" w:hAnsi="Times New Roman" w:eastAsia="宋体" w:cs="Times New Roman"/>
                <w:sz w:val="21"/>
                <w:szCs w:val="21"/>
              </w:rPr>
            </w:pPr>
            <w:r>
              <w:rPr>
                <w:rFonts w:ascii="Times New Roman" w:hAnsi="Times New Roman" w:cs="Times New Roman"/>
              </w:rPr>
              <w:t>Ming Lu, Gang Hu</w:t>
            </w:r>
          </w:p>
        </w:tc>
        <w:tc>
          <w:tcPr>
            <w:tcW w:w="1443"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rPr>
                <w:rFonts w:ascii="Times New Roman" w:hAnsi="Times New Roman" w:eastAsia="宋体" w:cs="Times New Roman"/>
                <w:sz w:val="21"/>
                <w:szCs w:val="21"/>
              </w:rPr>
            </w:pPr>
            <w:r>
              <w:rPr>
                <w:rFonts w:ascii="Times New Roman" w:hAnsi="Times New Roman" w:cs="Times New Roman"/>
              </w:rPr>
              <w:t>Jialei Zhu</w:t>
            </w:r>
          </w:p>
        </w:tc>
      </w:tr>
      <w:tr>
        <w:tblPrEx>
          <w:tblCellMar>
            <w:top w:w="0" w:type="dxa"/>
            <w:left w:w="108" w:type="dxa"/>
            <w:bottom w:w="0" w:type="dxa"/>
            <w:right w:w="108" w:type="dxa"/>
          </w:tblCellMar>
        </w:tblPrEx>
        <w:trPr>
          <w:trHeight w:val="567" w:hRule="atLeast"/>
          <w:jc w:val="center"/>
        </w:trPr>
        <w:tc>
          <w:tcPr>
            <w:tcW w:w="612"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jc w:val="center"/>
              <w:rPr>
                <w:rFonts w:ascii="Times New Roman" w:hAnsi="Times New Roman" w:eastAsia="宋体" w:cs="Times New Roman"/>
                <w:sz w:val="21"/>
                <w:szCs w:val="21"/>
              </w:rPr>
            </w:pPr>
            <w:r>
              <w:rPr>
                <w:rFonts w:ascii="Times New Roman" w:hAnsi="Times New Roman" w:cs="Times New Roman"/>
              </w:rPr>
              <w:t>3</w:t>
            </w:r>
          </w:p>
        </w:tc>
        <w:tc>
          <w:tcPr>
            <w:tcW w:w="2204"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rPr>
                <w:rFonts w:ascii="Times New Roman" w:hAnsi="Times New Roman" w:eastAsia="宋体" w:cs="Times New Roman"/>
                <w:sz w:val="21"/>
                <w:szCs w:val="21"/>
              </w:rPr>
            </w:pPr>
            <w:r>
              <w:rPr>
                <w:rFonts w:ascii="Times New Roman" w:hAnsi="Times New Roman" w:cs="Times New Roman"/>
              </w:rPr>
              <w:t>Opposing functions of β-arrestin 1 and 2 in Parkinson's disease via microglia inflammation and Nprl3/ Cell Death &amp; Differentiation/ Yinquan Fang, Qingling Jiang, Shanshan Li 2, Hong Zhu 1, Rong Xu, Nanshan Song, Xiao Ding, Jiaqi Liu, Miaomiao Chen, Mengmeng Song, Jianhua Ding, Ming Lu, Guangyu Wu, Gang Hu</w:t>
            </w:r>
          </w:p>
        </w:tc>
        <w:tc>
          <w:tcPr>
            <w:tcW w:w="1485"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rPr>
                <w:rFonts w:ascii="Times New Roman" w:hAnsi="Times New Roman" w:eastAsia="宋体" w:cs="Times New Roman"/>
                <w:sz w:val="21"/>
                <w:szCs w:val="21"/>
              </w:rPr>
            </w:pPr>
            <w:r>
              <w:rPr>
                <w:rFonts w:ascii="Times New Roman" w:hAnsi="Times New Roman" w:cs="Times New Roman"/>
              </w:rPr>
              <w:t>2021年28卷1822-1836页</w:t>
            </w:r>
          </w:p>
        </w:tc>
        <w:tc>
          <w:tcPr>
            <w:tcW w:w="1288"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jc w:val="center"/>
              <w:rPr>
                <w:rFonts w:ascii="Times New Roman" w:hAnsi="Times New Roman" w:eastAsia="宋体" w:cs="Times New Roman"/>
                <w:sz w:val="21"/>
                <w:szCs w:val="21"/>
              </w:rPr>
            </w:pPr>
            <w:r>
              <w:rPr>
                <w:rFonts w:ascii="Times New Roman" w:hAnsi="Times New Roman" w:cs="Times New Roman"/>
              </w:rPr>
              <w:t>2021年6月</w:t>
            </w:r>
          </w:p>
        </w:tc>
        <w:tc>
          <w:tcPr>
            <w:tcW w:w="1364"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rPr>
                <w:rFonts w:ascii="Times New Roman" w:hAnsi="Times New Roman" w:eastAsia="宋体" w:cs="Times New Roman"/>
                <w:sz w:val="21"/>
                <w:szCs w:val="21"/>
              </w:rPr>
            </w:pPr>
            <w:r>
              <w:rPr>
                <w:rFonts w:ascii="Times New Roman" w:hAnsi="Times New Roman" w:cs="Times New Roman"/>
              </w:rPr>
              <w:t>Gang Hu</w:t>
            </w:r>
          </w:p>
        </w:tc>
        <w:tc>
          <w:tcPr>
            <w:tcW w:w="1443"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rPr>
                <w:rFonts w:ascii="Times New Roman" w:hAnsi="Times New Roman" w:eastAsia="宋体" w:cs="Times New Roman"/>
                <w:sz w:val="21"/>
                <w:szCs w:val="21"/>
              </w:rPr>
            </w:pPr>
            <w:r>
              <w:rPr>
                <w:rFonts w:ascii="Times New Roman" w:hAnsi="Times New Roman" w:cs="Times New Roman"/>
              </w:rPr>
              <w:t>Yinquan Fang, Qingling Jiang</w:t>
            </w:r>
          </w:p>
        </w:tc>
      </w:tr>
      <w:tr>
        <w:tblPrEx>
          <w:tblCellMar>
            <w:top w:w="0" w:type="dxa"/>
            <w:left w:w="108" w:type="dxa"/>
            <w:bottom w:w="0" w:type="dxa"/>
            <w:right w:w="108" w:type="dxa"/>
          </w:tblCellMar>
        </w:tblPrEx>
        <w:trPr>
          <w:trHeight w:val="567" w:hRule="atLeast"/>
          <w:jc w:val="center"/>
        </w:trPr>
        <w:tc>
          <w:tcPr>
            <w:tcW w:w="612"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jc w:val="center"/>
              <w:rPr>
                <w:rFonts w:ascii="Times New Roman" w:hAnsi="Times New Roman" w:eastAsia="宋体" w:cs="Times New Roman"/>
                <w:sz w:val="21"/>
                <w:szCs w:val="21"/>
              </w:rPr>
            </w:pPr>
            <w:r>
              <w:rPr>
                <w:rFonts w:ascii="Times New Roman" w:hAnsi="Times New Roman" w:cs="Times New Roman"/>
              </w:rPr>
              <w:t>4</w:t>
            </w:r>
          </w:p>
        </w:tc>
        <w:tc>
          <w:tcPr>
            <w:tcW w:w="2204"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rPr>
                <w:rFonts w:ascii="Times New Roman" w:hAnsi="Times New Roman" w:eastAsia="宋体" w:cs="Times New Roman"/>
                <w:sz w:val="21"/>
                <w:szCs w:val="21"/>
              </w:rPr>
            </w:pPr>
            <w:r>
              <w:rPr>
                <w:rFonts w:ascii="Times New Roman" w:hAnsi="Times New Roman" w:cs="Times New Roman"/>
              </w:rPr>
              <w:t>Pyridoxine induces glutathione synthesis via PKM2-mediated Nrf2 transactivation and confers neuroprotection/Nature Communications/ Yao Wei, Ming Lu, Meng Mei, Haoran Wang, Zhitao Han, Miaomiao Chen, Hang Yao, Nanshan Song, Xiao Ding, Jianhua Ding, Ming Xiao, Gang Hu</w:t>
            </w:r>
          </w:p>
        </w:tc>
        <w:tc>
          <w:tcPr>
            <w:tcW w:w="1485"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rPr>
                <w:rFonts w:ascii="Times New Roman" w:hAnsi="Times New Roman" w:eastAsia="宋体" w:cs="Times New Roman"/>
                <w:sz w:val="21"/>
                <w:szCs w:val="21"/>
              </w:rPr>
            </w:pPr>
            <w:r>
              <w:rPr>
                <w:rFonts w:ascii="Times New Roman" w:hAnsi="Times New Roman" w:cs="Times New Roman"/>
              </w:rPr>
              <w:t>2020年11卷</w:t>
            </w:r>
            <w:r>
              <w:rPr>
                <w:rFonts w:hint="eastAsia" w:ascii="Times New Roman" w:hAnsi="Times New Roman" w:cs="Times New Roman"/>
              </w:rPr>
              <w:t>9</w:t>
            </w:r>
            <w:r>
              <w:rPr>
                <w:rFonts w:ascii="Times New Roman" w:hAnsi="Times New Roman" w:cs="Times New Roman"/>
              </w:rPr>
              <w:t>41页</w:t>
            </w:r>
          </w:p>
        </w:tc>
        <w:tc>
          <w:tcPr>
            <w:tcW w:w="1288"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jc w:val="center"/>
              <w:rPr>
                <w:rFonts w:ascii="Times New Roman" w:hAnsi="Times New Roman" w:eastAsia="宋体" w:cs="Times New Roman"/>
                <w:sz w:val="21"/>
                <w:szCs w:val="21"/>
              </w:rPr>
            </w:pPr>
            <w:r>
              <w:rPr>
                <w:rFonts w:ascii="Times New Roman" w:hAnsi="Times New Roman" w:cs="Times New Roman"/>
              </w:rPr>
              <w:t>2020年2月18日</w:t>
            </w:r>
          </w:p>
        </w:tc>
        <w:tc>
          <w:tcPr>
            <w:tcW w:w="1364"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rPr>
                <w:rFonts w:ascii="Times New Roman" w:hAnsi="Times New Roman" w:eastAsia="宋体" w:cs="Times New Roman"/>
                <w:sz w:val="21"/>
                <w:szCs w:val="21"/>
              </w:rPr>
            </w:pPr>
            <w:r>
              <w:rPr>
                <w:rFonts w:ascii="Times New Roman" w:hAnsi="Times New Roman" w:cs="Times New Roman"/>
              </w:rPr>
              <w:t>Gang Hu</w:t>
            </w:r>
          </w:p>
        </w:tc>
        <w:tc>
          <w:tcPr>
            <w:tcW w:w="1443"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rPr>
                <w:rFonts w:ascii="Times New Roman" w:hAnsi="Times New Roman" w:eastAsia="宋体" w:cs="Times New Roman"/>
                <w:sz w:val="21"/>
                <w:szCs w:val="21"/>
              </w:rPr>
            </w:pPr>
            <w:r>
              <w:rPr>
                <w:rFonts w:ascii="Times New Roman" w:hAnsi="Times New Roman" w:cs="Times New Roman"/>
              </w:rPr>
              <w:t>Yao Wei, Ming Lu, Meng Mei</w:t>
            </w:r>
          </w:p>
        </w:tc>
      </w:tr>
      <w:tr>
        <w:tblPrEx>
          <w:tblCellMar>
            <w:top w:w="0" w:type="dxa"/>
            <w:left w:w="108" w:type="dxa"/>
            <w:bottom w:w="0" w:type="dxa"/>
            <w:right w:w="108" w:type="dxa"/>
          </w:tblCellMar>
        </w:tblPrEx>
        <w:trPr>
          <w:trHeight w:val="567" w:hRule="atLeast"/>
          <w:jc w:val="center"/>
        </w:trPr>
        <w:tc>
          <w:tcPr>
            <w:tcW w:w="612"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jc w:val="center"/>
              <w:rPr>
                <w:rFonts w:ascii="Times New Roman" w:hAnsi="Times New Roman" w:eastAsia="宋体" w:cs="Times New Roman"/>
                <w:sz w:val="21"/>
                <w:szCs w:val="21"/>
              </w:rPr>
            </w:pPr>
            <w:r>
              <w:rPr>
                <w:rFonts w:ascii="Times New Roman" w:hAnsi="Times New Roman" w:cs="Times New Roman"/>
              </w:rPr>
              <w:t>5</w:t>
            </w:r>
          </w:p>
        </w:tc>
        <w:tc>
          <w:tcPr>
            <w:tcW w:w="2204"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rPr>
                <w:rFonts w:ascii="Times New Roman" w:hAnsi="Times New Roman" w:eastAsia="宋体" w:cs="Times New Roman"/>
                <w:sz w:val="21"/>
                <w:szCs w:val="21"/>
              </w:rPr>
            </w:pPr>
            <w:r>
              <w:rPr>
                <w:rFonts w:ascii="Times New Roman" w:hAnsi="Times New Roman" w:cs="Times New Roman"/>
              </w:rPr>
              <w:t>Drd2 biased agonist prevents neurodegeneration against NLRP3 inflammasome in Parkinson's disease model via a β-arrestin2-biased mechanism/ Brain, Behavior and Immunity/Jialei Zhu, Ting Sun, Jing Zhang, Yang Liu, Dongshuo Wang, Hong Zhu, Hang Yao, Jianhua Ding, Gang Hu, Ming Lu</w:t>
            </w:r>
          </w:p>
        </w:tc>
        <w:tc>
          <w:tcPr>
            <w:tcW w:w="1485"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rPr>
                <w:rFonts w:ascii="Times New Roman" w:hAnsi="Times New Roman" w:eastAsia="宋体" w:cs="Times New Roman"/>
                <w:sz w:val="21"/>
                <w:szCs w:val="21"/>
              </w:rPr>
            </w:pPr>
            <w:r>
              <w:rPr>
                <w:rFonts w:ascii="Times New Roman" w:hAnsi="Times New Roman" w:cs="Times New Roman"/>
              </w:rPr>
              <w:t>2020年90卷259-271页</w:t>
            </w:r>
          </w:p>
        </w:tc>
        <w:tc>
          <w:tcPr>
            <w:tcW w:w="1288"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jc w:val="center"/>
              <w:rPr>
                <w:rFonts w:ascii="Times New Roman" w:hAnsi="Times New Roman" w:eastAsia="宋体" w:cs="Times New Roman"/>
                <w:sz w:val="21"/>
                <w:szCs w:val="21"/>
              </w:rPr>
            </w:pPr>
            <w:r>
              <w:rPr>
                <w:rFonts w:ascii="Times New Roman" w:hAnsi="Times New Roman" w:cs="Times New Roman"/>
              </w:rPr>
              <w:t>2020年11月</w:t>
            </w:r>
          </w:p>
        </w:tc>
        <w:tc>
          <w:tcPr>
            <w:tcW w:w="1364"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rPr>
                <w:rFonts w:ascii="Times New Roman" w:hAnsi="Times New Roman" w:eastAsia="宋体" w:cs="Times New Roman"/>
                <w:sz w:val="21"/>
                <w:szCs w:val="21"/>
              </w:rPr>
            </w:pPr>
            <w:r>
              <w:rPr>
                <w:rFonts w:ascii="Times New Roman" w:hAnsi="Times New Roman" w:cs="Times New Roman"/>
              </w:rPr>
              <w:t>Gang Hu Ming Lu</w:t>
            </w:r>
          </w:p>
        </w:tc>
        <w:tc>
          <w:tcPr>
            <w:tcW w:w="1443"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rPr>
                <w:rFonts w:ascii="Times New Roman" w:hAnsi="Times New Roman" w:eastAsia="宋体" w:cs="Times New Roman"/>
                <w:sz w:val="21"/>
                <w:szCs w:val="21"/>
              </w:rPr>
            </w:pPr>
            <w:r>
              <w:rPr>
                <w:rFonts w:ascii="Times New Roman" w:hAnsi="Times New Roman" w:cs="Times New Roman"/>
              </w:rPr>
              <w:t>Jialei Zhu, Sun Ting</w:t>
            </w:r>
          </w:p>
        </w:tc>
      </w:tr>
    </w:tbl>
    <w:p>
      <w:pPr>
        <w:rPr>
          <w:rFonts w:ascii="宋体" w:hAnsi="宋体" w:eastAsia="宋体"/>
          <w:b/>
          <w:bCs/>
          <w:sz w:val="24"/>
          <w:szCs w:val="28"/>
        </w:rPr>
      </w:pPr>
    </w:p>
    <w:p>
      <w:pPr>
        <w:rPr>
          <w:rFonts w:ascii="宋体" w:hAnsi="宋体" w:eastAsia="宋体"/>
          <w:b/>
          <w:bCs/>
          <w:sz w:val="24"/>
          <w:szCs w:val="28"/>
        </w:rPr>
      </w:pPr>
      <w:r>
        <w:rPr>
          <w:rFonts w:hint="eastAsia" w:ascii="宋体" w:hAnsi="宋体" w:eastAsia="宋体"/>
          <w:b/>
          <w:bCs/>
          <w:sz w:val="24"/>
          <w:szCs w:val="28"/>
        </w:rPr>
        <w:t>和（或）6、主要知识产权和标准规范等目录：</w:t>
      </w:r>
    </w:p>
    <w:tbl>
      <w:tblPr>
        <w:tblStyle w:val="16"/>
        <w:tblW w:w="9205"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068"/>
        <w:gridCol w:w="1300"/>
        <w:gridCol w:w="871"/>
        <w:gridCol w:w="1060"/>
        <w:gridCol w:w="1024"/>
        <w:gridCol w:w="1170"/>
        <w:gridCol w:w="877"/>
        <w:gridCol w:w="878"/>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068" w:type="dxa"/>
            <w:vAlign w:val="center"/>
          </w:tcPr>
          <w:p>
            <w:pPr>
              <w:adjustRightInd w:val="0"/>
              <w:spacing w:line="28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知识产权</w:t>
            </w:r>
            <w:r>
              <w:rPr>
                <w:rFonts w:hint="eastAsia" w:ascii="Times New Roman" w:hAnsi="Times New Roman" w:eastAsia="宋体" w:cs="Times New Roman"/>
                <w:sz w:val="21"/>
                <w:szCs w:val="21"/>
              </w:rPr>
              <w:t>（标准）</w:t>
            </w:r>
            <w:r>
              <w:rPr>
                <w:rFonts w:ascii="Times New Roman" w:hAnsi="Times New Roman" w:eastAsia="宋体" w:cs="Times New Roman"/>
                <w:sz w:val="21"/>
                <w:szCs w:val="21"/>
              </w:rPr>
              <w:t>类别</w:t>
            </w:r>
          </w:p>
        </w:tc>
        <w:tc>
          <w:tcPr>
            <w:tcW w:w="1300" w:type="dxa"/>
            <w:vAlign w:val="center"/>
          </w:tcPr>
          <w:p>
            <w:pPr>
              <w:adjustRightInd w:val="0"/>
              <w:spacing w:line="28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知识产权（标准）具体</w:t>
            </w:r>
            <w:r>
              <w:rPr>
                <w:rFonts w:ascii="Times New Roman" w:hAnsi="Times New Roman" w:eastAsia="宋体" w:cs="Times New Roman"/>
                <w:sz w:val="21"/>
                <w:szCs w:val="21"/>
              </w:rPr>
              <w:t>名称</w:t>
            </w:r>
          </w:p>
        </w:tc>
        <w:tc>
          <w:tcPr>
            <w:tcW w:w="871" w:type="dxa"/>
            <w:vAlign w:val="center"/>
          </w:tcPr>
          <w:p>
            <w:pPr>
              <w:adjustRightInd w:val="0"/>
              <w:spacing w:line="28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国</w:t>
            </w:r>
            <w:r>
              <w:rPr>
                <w:rFonts w:hint="eastAsia" w:ascii="Times New Roman" w:hAnsi="Times New Roman" w:eastAsia="宋体" w:cs="Times New Roman"/>
                <w:sz w:val="21"/>
                <w:szCs w:val="21"/>
              </w:rPr>
              <w:t>家</w:t>
            </w:r>
          </w:p>
          <w:p>
            <w:pPr>
              <w:adjustRightInd w:val="0"/>
              <w:spacing w:line="28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w:t>
            </w:r>
            <w:r>
              <w:rPr>
                <w:rFonts w:hint="eastAsia" w:ascii="Times New Roman" w:hAnsi="Times New Roman" w:eastAsia="宋体" w:cs="Times New Roman"/>
                <w:sz w:val="21"/>
                <w:szCs w:val="21"/>
              </w:rPr>
              <w:t>地</w:t>
            </w:r>
            <w:r>
              <w:rPr>
                <w:rFonts w:ascii="Times New Roman" w:hAnsi="Times New Roman" w:eastAsia="宋体" w:cs="Times New Roman"/>
                <w:sz w:val="21"/>
                <w:szCs w:val="21"/>
              </w:rPr>
              <w:t>区）</w:t>
            </w:r>
          </w:p>
        </w:tc>
        <w:tc>
          <w:tcPr>
            <w:tcW w:w="1060" w:type="dxa"/>
            <w:vAlign w:val="center"/>
          </w:tcPr>
          <w:p>
            <w:pPr>
              <w:adjustRightInd w:val="0"/>
              <w:spacing w:line="28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授权号（标准编号）</w:t>
            </w:r>
          </w:p>
        </w:tc>
        <w:tc>
          <w:tcPr>
            <w:tcW w:w="1024" w:type="dxa"/>
            <w:vAlign w:val="center"/>
          </w:tcPr>
          <w:p>
            <w:pPr>
              <w:adjustRightInd w:val="0"/>
              <w:spacing w:line="28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授权（标准发布）日期</w:t>
            </w:r>
          </w:p>
        </w:tc>
        <w:tc>
          <w:tcPr>
            <w:tcW w:w="1170" w:type="dxa"/>
            <w:vAlign w:val="center"/>
          </w:tcPr>
          <w:p>
            <w:pPr>
              <w:adjustRightInd w:val="0"/>
              <w:spacing w:line="28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证书编号</w:t>
            </w:r>
            <w:r>
              <w:rPr>
                <w:rFonts w:ascii="Times New Roman" w:hAnsi="Times New Roman" w:eastAsia="宋体" w:cs="Times New Roman"/>
                <w:sz w:val="21"/>
                <w:szCs w:val="21"/>
              </w:rPr>
              <w:br w:type="textWrapping"/>
            </w:r>
            <w:r>
              <w:rPr>
                <w:rFonts w:hint="eastAsia" w:ascii="Times New Roman" w:hAnsi="Times New Roman" w:eastAsia="宋体" w:cs="Times New Roman"/>
                <w:sz w:val="21"/>
                <w:szCs w:val="21"/>
              </w:rPr>
              <w:t>（标准批准发布</w:t>
            </w:r>
            <w:r>
              <w:rPr>
                <w:rFonts w:ascii="Times New Roman" w:hAnsi="Times New Roman" w:eastAsia="宋体" w:cs="Times New Roman"/>
                <w:sz w:val="21"/>
                <w:szCs w:val="21"/>
              </w:rPr>
              <w:t>部门</w:t>
            </w:r>
            <w:r>
              <w:rPr>
                <w:rFonts w:hint="eastAsia" w:ascii="Times New Roman" w:hAnsi="Times New Roman" w:eastAsia="宋体" w:cs="Times New Roman"/>
                <w:sz w:val="21"/>
                <w:szCs w:val="21"/>
              </w:rPr>
              <w:t>）</w:t>
            </w:r>
          </w:p>
        </w:tc>
        <w:tc>
          <w:tcPr>
            <w:tcW w:w="877" w:type="dxa"/>
            <w:vAlign w:val="center"/>
          </w:tcPr>
          <w:p>
            <w:pPr>
              <w:adjustRightInd w:val="0"/>
              <w:spacing w:line="28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权利人（标准起草单位）</w:t>
            </w:r>
          </w:p>
        </w:tc>
        <w:tc>
          <w:tcPr>
            <w:tcW w:w="878" w:type="dxa"/>
            <w:vAlign w:val="center"/>
          </w:tcPr>
          <w:p>
            <w:pPr>
              <w:adjustRightInd w:val="0"/>
              <w:spacing w:line="28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发明人（标准起草人）</w:t>
            </w:r>
          </w:p>
        </w:tc>
        <w:tc>
          <w:tcPr>
            <w:tcW w:w="957" w:type="dxa"/>
            <w:vAlign w:val="center"/>
          </w:tcPr>
          <w:p>
            <w:pPr>
              <w:adjustRightInd w:val="0"/>
              <w:spacing w:line="28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发明专利（标准）有效状态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6" w:hRule="atLeast"/>
        </w:trPr>
        <w:tc>
          <w:tcPr>
            <w:tcW w:w="1068" w:type="dxa"/>
            <w:vAlign w:val="center"/>
          </w:tcPr>
          <w:p>
            <w:pPr>
              <w:adjustRightInd w:val="0"/>
              <w:spacing w:line="280" w:lineRule="exact"/>
              <w:jc w:val="center"/>
              <w:rPr>
                <w:rFonts w:ascii="Times New Roman" w:hAnsi="Times New Roman" w:eastAsia="宋体" w:cs="Times New Roman"/>
                <w:sz w:val="21"/>
                <w:szCs w:val="21"/>
              </w:rPr>
            </w:pPr>
            <w:r>
              <w:rPr>
                <w:rFonts w:cs="Times New Roman" w:asciiTheme="minorEastAsia" w:hAnsiTheme="minorEastAsia"/>
              </w:rPr>
              <w:t>发明</w:t>
            </w:r>
          </w:p>
        </w:tc>
        <w:tc>
          <w:tcPr>
            <w:tcW w:w="1300" w:type="dxa"/>
            <w:vAlign w:val="center"/>
          </w:tcPr>
          <w:p>
            <w:pPr>
              <w:adjustRightInd w:val="0"/>
              <w:spacing w:line="280" w:lineRule="exact"/>
              <w:jc w:val="center"/>
              <w:rPr>
                <w:rFonts w:ascii="Times New Roman" w:hAnsi="Times New Roman" w:eastAsia="宋体" w:cs="Times New Roman"/>
                <w:sz w:val="21"/>
                <w:szCs w:val="21"/>
              </w:rPr>
            </w:pPr>
            <w:r>
              <w:rPr>
                <w:rFonts w:cs="Times New Roman" w:asciiTheme="minorEastAsia" w:hAnsiTheme="minorEastAsia"/>
              </w:rPr>
              <w:t>益母草碱的用途</w:t>
            </w:r>
          </w:p>
        </w:tc>
        <w:tc>
          <w:tcPr>
            <w:tcW w:w="871" w:type="dxa"/>
            <w:vAlign w:val="center"/>
          </w:tcPr>
          <w:p>
            <w:pPr>
              <w:adjustRightInd w:val="0"/>
              <w:spacing w:line="280" w:lineRule="exact"/>
              <w:jc w:val="center"/>
              <w:rPr>
                <w:rFonts w:ascii="Times New Roman" w:hAnsi="Times New Roman" w:eastAsia="宋体" w:cs="Times New Roman"/>
                <w:sz w:val="21"/>
                <w:szCs w:val="21"/>
              </w:rPr>
            </w:pPr>
            <w:r>
              <w:rPr>
                <w:rFonts w:cs="Times New Roman" w:asciiTheme="minorEastAsia" w:hAnsiTheme="minorEastAsia"/>
              </w:rPr>
              <w:t>中国</w:t>
            </w:r>
          </w:p>
        </w:tc>
        <w:tc>
          <w:tcPr>
            <w:tcW w:w="1060" w:type="dxa"/>
            <w:vAlign w:val="center"/>
          </w:tcPr>
          <w:p>
            <w:pPr>
              <w:adjustRightInd w:val="0"/>
              <w:spacing w:line="280" w:lineRule="exact"/>
              <w:jc w:val="center"/>
              <w:rPr>
                <w:rFonts w:ascii="Times New Roman" w:hAnsi="Times New Roman" w:eastAsia="宋体" w:cs="Times New Roman"/>
                <w:sz w:val="21"/>
                <w:szCs w:val="21"/>
              </w:rPr>
            </w:pPr>
            <w:r>
              <w:rPr>
                <w:rFonts w:cs="Times New Roman" w:asciiTheme="minorEastAsia" w:hAnsiTheme="minorEastAsia"/>
              </w:rPr>
              <w:t xml:space="preserve">ZL 2017 1 0049117.2 </w:t>
            </w:r>
          </w:p>
        </w:tc>
        <w:tc>
          <w:tcPr>
            <w:tcW w:w="1024" w:type="dxa"/>
            <w:vAlign w:val="center"/>
          </w:tcPr>
          <w:p>
            <w:pPr>
              <w:adjustRightInd w:val="0"/>
              <w:spacing w:line="280" w:lineRule="exact"/>
              <w:jc w:val="center"/>
              <w:rPr>
                <w:rFonts w:ascii="Times New Roman" w:hAnsi="Times New Roman" w:eastAsia="宋体" w:cs="Times New Roman"/>
                <w:sz w:val="21"/>
                <w:szCs w:val="21"/>
              </w:rPr>
            </w:pPr>
            <w:r>
              <w:rPr>
                <w:rFonts w:cs="Times New Roman" w:asciiTheme="minorEastAsia" w:hAnsiTheme="minorEastAsia"/>
              </w:rPr>
              <w:t>2019-05-10</w:t>
            </w:r>
          </w:p>
        </w:tc>
        <w:tc>
          <w:tcPr>
            <w:tcW w:w="1170" w:type="dxa"/>
            <w:vAlign w:val="center"/>
          </w:tcPr>
          <w:p>
            <w:pPr>
              <w:adjustRightInd w:val="0"/>
              <w:spacing w:line="280" w:lineRule="exact"/>
              <w:jc w:val="center"/>
              <w:rPr>
                <w:rFonts w:ascii="Times New Roman" w:hAnsi="Times New Roman" w:eastAsia="宋体" w:cs="Times New Roman"/>
                <w:sz w:val="21"/>
                <w:szCs w:val="21"/>
              </w:rPr>
            </w:pPr>
            <w:r>
              <w:rPr>
                <w:rFonts w:cs="Times New Roman" w:asciiTheme="minorEastAsia" w:hAnsiTheme="minorEastAsia"/>
              </w:rPr>
              <w:t>3368734</w:t>
            </w:r>
          </w:p>
        </w:tc>
        <w:tc>
          <w:tcPr>
            <w:tcW w:w="877" w:type="dxa"/>
            <w:vAlign w:val="center"/>
          </w:tcPr>
          <w:p>
            <w:pPr>
              <w:adjustRightInd w:val="0"/>
              <w:spacing w:line="280" w:lineRule="exact"/>
              <w:jc w:val="center"/>
              <w:rPr>
                <w:rFonts w:ascii="Times New Roman" w:hAnsi="Times New Roman" w:eastAsia="宋体" w:cs="Times New Roman"/>
                <w:sz w:val="21"/>
                <w:szCs w:val="21"/>
              </w:rPr>
            </w:pPr>
            <w:r>
              <w:rPr>
                <w:rFonts w:cs="Times New Roman" w:asciiTheme="minorEastAsia" w:hAnsiTheme="minorEastAsia"/>
              </w:rPr>
              <w:t>南京医科大学</w:t>
            </w:r>
          </w:p>
        </w:tc>
        <w:tc>
          <w:tcPr>
            <w:tcW w:w="878" w:type="dxa"/>
            <w:vAlign w:val="center"/>
          </w:tcPr>
          <w:p>
            <w:pPr>
              <w:pStyle w:val="39"/>
              <w:rPr>
                <w:rFonts w:cs="Times New Roman" w:asciiTheme="minorEastAsia" w:hAnsiTheme="minorEastAsia" w:eastAsiaTheme="minorEastAsia"/>
              </w:rPr>
            </w:pPr>
            <w:r>
              <w:rPr>
                <w:rFonts w:cs="Times New Roman" w:asciiTheme="minorEastAsia" w:hAnsiTheme="minorEastAsia" w:eastAsiaTheme="minorEastAsia"/>
              </w:rPr>
              <w:t xml:space="preserve">胡刚；贾苗苗；朱依谆；丁建花；鲁明 </w:t>
            </w:r>
          </w:p>
        </w:tc>
        <w:tc>
          <w:tcPr>
            <w:tcW w:w="957" w:type="dxa"/>
            <w:vAlign w:val="center"/>
          </w:tcPr>
          <w:p>
            <w:pPr>
              <w:adjustRightInd w:val="0"/>
              <w:spacing w:line="280" w:lineRule="exact"/>
              <w:jc w:val="center"/>
              <w:rPr>
                <w:rFonts w:ascii="Times New Roman" w:hAnsi="Times New Roman" w:eastAsia="宋体" w:cs="Times New Roman"/>
                <w:sz w:val="21"/>
                <w:szCs w:val="21"/>
              </w:rPr>
            </w:pPr>
            <w:r>
              <w:rPr>
                <w:rFonts w:hint="eastAsia" w:cs="Times New Roman" w:asciiTheme="minorEastAsia" w:hAnsiTheme="minorEastAsia"/>
              </w:rPr>
              <w:t>有效</w:t>
            </w:r>
          </w:p>
        </w:tc>
      </w:tr>
    </w:tbl>
    <w:p>
      <w:pPr>
        <w:rPr>
          <w:rFonts w:ascii="宋体" w:hAnsi="宋体" w:eastAsia="宋体"/>
          <w:sz w:val="24"/>
          <w:szCs w:val="28"/>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Wawati SC">
    <w:altName w:val="微软雅黑"/>
    <w:panose1 w:val="00000000000000000000"/>
    <w:charset w:val="86"/>
    <w:family w:val="decorative"/>
    <w:pitch w:val="default"/>
    <w:sig w:usb0="00000000" w:usb1="00000000" w:usb2="00000016" w:usb3="00000000" w:csb0="0004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g3YmViZjI1NWY3ZWJmZWJlMzI3NjY0NWJkMTg3NGQifQ=="/>
  </w:docVars>
  <w:rsids>
    <w:rsidRoot w:val="00D05683"/>
    <w:rsid w:val="00121B61"/>
    <w:rsid w:val="0015704A"/>
    <w:rsid w:val="001C1FC4"/>
    <w:rsid w:val="001F0D3F"/>
    <w:rsid w:val="0020774A"/>
    <w:rsid w:val="00294D94"/>
    <w:rsid w:val="002B6AAD"/>
    <w:rsid w:val="002D006E"/>
    <w:rsid w:val="002F5279"/>
    <w:rsid w:val="00372A70"/>
    <w:rsid w:val="003876CC"/>
    <w:rsid w:val="00413BAC"/>
    <w:rsid w:val="006C10FE"/>
    <w:rsid w:val="00704C5D"/>
    <w:rsid w:val="008350CC"/>
    <w:rsid w:val="00891506"/>
    <w:rsid w:val="00894550"/>
    <w:rsid w:val="009E1598"/>
    <w:rsid w:val="00AC020B"/>
    <w:rsid w:val="00B62F92"/>
    <w:rsid w:val="00C30F13"/>
    <w:rsid w:val="00CC2601"/>
    <w:rsid w:val="00CF2C58"/>
    <w:rsid w:val="00CF482D"/>
    <w:rsid w:val="00D05683"/>
    <w:rsid w:val="00D93833"/>
    <w:rsid w:val="00E07724"/>
    <w:rsid w:val="00ED7CB1"/>
    <w:rsid w:val="00F83B7C"/>
    <w:rsid w:val="1E3649B9"/>
    <w:rsid w:val="36153552"/>
    <w:rsid w:val="513F4176"/>
    <w:rsid w:val="547263EE"/>
    <w:rsid w:val="5FEF0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autoRedefine/>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autoRedefine/>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autoRedefine/>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autoRedefine/>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4"/>
    <w:autoRedefine/>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autoRedefine/>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autoRedefine/>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11">
    <w:name w:val="Plain Text"/>
    <w:basedOn w:val="1"/>
    <w:link w:val="38"/>
    <w:autoRedefine/>
    <w:qFormat/>
    <w:uiPriority w:val="0"/>
    <w:pPr>
      <w:spacing w:after="0" w:line="400" w:lineRule="exact"/>
      <w:ind w:firstLine="420" w:firstLineChars="200"/>
      <w:jc w:val="both"/>
    </w:pPr>
    <w:rPr>
      <w:rFonts w:ascii="Times New Roman" w:hAnsi="Times New Roman" w:eastAsia="宋体" w:cs="Times New Roman"/>
      <w:bCs/>
      <w:sz w:val="21"/>
      <w:szCs w:val="21"/>
      <w14:ligatures w14:val="none"/>
    </w:rPr>
  </w:style>
  <w:style w:type="paragraph" w:styleId="12">
    <w:name w:val="footer"/>
    <w:basedOn w:val="1"/>
    <w:link w:val="37"/>
    <w:autoRedefine/>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6"/>
    <w:autoRedefine/>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28"/>
    <w:autoRedefine/>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autoRedefine/>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autoRedefine/>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autoRedefine/>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autoRedefine/>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autoRedefine/>
    <w:semiHidden/>
    <w:qFormat/>
    <w:uiPriority w:val="9"/>
    <w:rPr>
      <w:rFonts w:cstheme="majorBidi"/>
      <w:color w:val="104862" w:themeColor="accent1" w:themeShade="BF"/>
      <w:sz w:val="28"/>
      <w:szCs w:val="28"/>
    </w:rPr>
  </w:style>
  <w:style w:type="character" w:customStyle="1" w:styleId="22">
    <w:name w:val="标题 5 字符"/>
    <w:basedOn w:val="17"/>
    <w:link w:val="6"/>
    <w:autoRedefine/>
    <w:semiHidden/>
    <w:qFormat/>
    <w:uiPriority w:val="9"/>
    <w:rPr>
      <w:rFonts w:cstheme="majorBidi"/>
      <w:color w:val="104862" w:themeColor="accent1" w:themeShade="BF"/>
      <w:sz w:val="24"/>
    </w:rPr>
  </w:style>
  <w:style w:type="character" w:customStyle="1" w:styleId="23">
    <w:name w:val="标题 6 字符"/>
    <w:basedOn w:val="17"/>
    <w:link w:val="7"/>
    <w:autoRedefine/>
    <w:semiHidden/>
    <w:qFormat/>
    <w:uiPriority w:val="9"/>
    <w:rPr>
      <w:rFonts w:cstheme="majorBidi"/>
      <w:b/>
      <w:bCs/>
      <w:color w:val="104862" w:themeColor="accent1" w:themeShade="BF"/>
    </w:rPr>
  </w:style>
  <w:style w:type="character" w:customStyle="1" w:styleId="24">
    <w:name w:val="标题 7 字符"/>
    <w:basedOn w:val="17"/>
    <w:link w:val="8"/>
    <w:autoRedefine/>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autoRedefine/>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autoRedefine/>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autoRedefine/>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autoRedefine/>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autoRedefine/>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autoRedefine/>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autoRedefine/>
    <w:qFormat/>
    <w:uiPriority w:val="34"/>
    <w:pPr>
      <w:ind w:left="720"/>
      <w:contextualSpacing/>
    </w:pPr>
  </w:style>
  <w:style w:type="character" w:customStyle="1" w:styleId="32">
    <w:name w:val="明显强调1"/>
    <w:basedOn w:val="17"/>
    <w:autoRedefine/>
    <w:qFormat/>
    <w:uiPriority w:val="21"/>
    <w:rPr>
      <w:i/>
      <w:iCs/>
      <w:color w:val="104862" w:themeColor="accent1" w:themeShade="BF"/>
    </w:rPr>
  </w:style>
  <w:style w:type="paragraph" w:styleId="33">
    <w:name w:val="Intense Quote"/>
    <w:basedOn w:val="1"/>
    <w:next w:val="1"/>
    <w:link w:val="34"/>
    <w:autoRedefine/>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autoRedefine/>
    <w:qFormat/>
    <w:uiPriority w:val="30"/>
    <w:rPr>
      <w:i/>
      <w:iCs/>
      <w:color w:val="104862" w:themeColor="accent1" w:themeShade="BF"/>
    </w:rPr>
  </w:style>
  <w:style w:type="character" w:customStyle="1" w:styleId="35">
    <w:name w:val="明显参考1"/>
    <w:basedOn w:val="17"/>
    <w:autoRedefine/>
    <w:qFormat/>
    <w:uiPriority w:val="32"/>
    <w:rPr>
      <w:b/>
      <w:bCs/>
      <w:smallCaps/>
      <w:color w:val="104862" w:themeColor="accent1" w:themeShade="BF"/>
      <w:spacing w:val="5"/>
    </w:rPr>
  </w:style>
  <w:style w:type="character" w:customStyle="1" w:styleId="36">
    <w:name w:val="页眉 字符"/>
    <w:basedOn w:val="17"/>
    <w:link w:val="13"/>
    <w:autoRedefine/>
    <w:qFormat/>
    <w:uiPriority w:val="99"/>
    <w:rPr>
      <w:sz w:val="18"/>
      <w:szCs w:val="18"/>
    </w:rPr>
  </w:style>
  <w:style w:type="character" w:customStyle="1" w:styleId="37">
    <w:name w:val="页脚 字符"/>
    <w:basedOn w:val="17"/>
    <w:link w:val="12"/>
    <w:autoRedefine/>
    <w:qFormat/>
    <w:uiPriority w:val="99"/>
    <w:rPr>
      <w:sz w:val="18"/>
      <w:szCs w:val="18"/>
    </w:rPr>
  </w:style>
  <w:style w:type="character" w:customStyle="1" w:styleId="38">
    <w:name w:val="纯文本 字符"/>
    <w:basedOn w:val="17"/>
    <w:link w:val="11"/>
    <w:autoRedefine/>
    <w:qFormat/>
    <w:uiPriority w:val="0"/>
    <w:rPr>
      <w:rFonts w:ascii="Times New Roman" w:hAnsi="Times New Roman" w:eastAsia="宋体" w:cs="Times New Roman"/>
      <w:bCs/>
      <w:kern w:val="2"/>
      <w:sz w:val="21"/>
      <w:szCs w:val="21"/>
    </w:rPr>
  </w:style>
  <w:style w:type="paragraph" w:customStyle="1" w:styleId="39">
    <w:name w:val="Table Paragraph"/>
    <w:basedOn w:val="1"/>
    <w:qFormat/>
    <w:uiPriority w:val="1"/>
    <w:pPr>
      <w:autoSpaceDE w:val="0"/>
      <w:autoSpaceDN w:val="0"/>
      <w:spacing w:after="0" w:line="240" w:lineRule="auto"/>
    </w:pPr>
    <w:rPr>
      <w:rFonts w:ascii="Wawati SC" w:hAnsi="Wawati SC" w:eastAsia="Wawati SC" w:cs="Wawati SC"/>
      <w:kern w:val="0"/>
      <w:szCs w:val="22"/>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325</Words>
  <Characters>1855</Characters>
  <Lines>15</Lines>
  <Paragraphs>4</Paragraphs>
  <TotalTime>18</TotalTime>
  <ScaleCrop>false</ScaleCrop>
  <LinksUpToDate>false</LinksUpToDate>
  <CharactersWithSpaces>2176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2024-02-06T05:11:00Z</dcterms:created>
  <dc:creator>wei jiang</dc:creator>
  <cp:lastModifiedBy>竹你平安</cp:lastModifiedBy>
  <dcterms:modified xsi:type="dcterms:W3CDTF">2024-02-26T05:44:22Z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64A9DD214BC3421FBCE6E010DF51DB68_13</vt:lpwstr>
  </property>
</Properties>
</file>