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DB358">
      <w:pPr>
        <w:spacing w:before="312" w:beforeLines="100" w:after="156" w:afterLines="50" w:line="520" w:lineRule="exact"/>
        <w:jc w:val="center"/>
        <w:rPr>
          <w:rFonts w:ascii="Times New Roman" w:hAnsi="Times New Roman" w:eastAsia="华文中宋" w:cs="Times New Roman"/>
          <w:b/>
          <w:sz w:val="44"/>
          <w:szCs w:val="32"/>
        </w:rPr>
      </w:pPr>
      <w:bookmarkStart w:id="0" w:name="_GoBack"/>
      <w:bookmarkEnd w:id="0"/>
      <w:r>
        <w:rPr>
          <w:rFonts w:hint="eastAsia" w:ascii="Times New Roman" w:hAnsi="Times New Roman" w:eastAsia="华文中宋" w:cs="Times New Roman"/>
          <w:b/>
          <w:sz w:val="44"/>
          <w:szCs w:val="32"/>
        </w:rPr>
        <w:t>非人灵长类介观神经联接与细胞图谱研究</w:t>
      </w:r>
    </w:p>
    <w:p w14:paraId="617CACFA">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（基础研究奖）</w:t>
      </w:r>
    </w:p>
    <w:p w14:paraId="576A924A">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（中国科学院脑科学与智能技术卓越创新中心）</w:t>
      </w:r>
    </w:p>
    <w:p w14:paraId="5B842E38">
      <w:pPr>
        <w:numPr>
          <w:ilvl w:val="0"/>
          <w:numId w:val="1"/>
        </w:numPr>
        <w:spacing w:before="156" w:beforeLines="50" w:line="560" w:lineRule="exact"/>
        <w:ind w:left="1112" w:leftChars="300" w:hanging="482" w:hangingChars="150"/>
        <w:rPr>
          <w:rFonts w:ascii="Times New Roman" w:hAnsi="Times New Roman" w:eastAsia="楷体" w:cs="Times New Roman"/>
          <w:sz w:val="32"/>
          <w:szCs w:val="32"/>
        </w:rPr>
      </w:pPr>
      <w:r>
        <w:rPr>
          <w:rFonts w:hint="eastAsia" w:ascii="Times New Roman" w:hAnsi="Times New Roman" w:eastAsia="楷体" w:cs="Times New Roman"/>
          <w:b/>
          <w:sz w:val="32"/>
          <w:szCs w:val="32"/>
        </w:rPr>
        <w:t>推荐意见</w:t>
      </w:r>
      <w:r>
        <w:rPr>
          <w:rFonts w:hint="eastAsia" w:ascii="Times New Roman" w:hAnsi="Times New Roman" w:eastAsia="楷体" w:cs="Times New Roman"/>
          <w:sz w:val="32"/>
          <w:szCs w:val="32"/>
        </w:rPr>
        <w:t>（不超过300字）</w:t>
      </w:r>
    </w:p>
    <w:p w14:paraId="02241935">
      <w:pPr>
        <w:spacing w:before="156" w:beforeLines="50" w:line="560" w:lineRule="exact"/>
        <w:ind w:left="315" w:leftChars="150"/>
        <w:rPr>
          <w:rFonts w:ascii="Times New Roman" w:hAnsi="Times New Roman" w:eastAsia="楷体" w:cs="Times New Roman"/>
          <w:sz w:val="32"/>
          <w:szCs w:val="32"/>
        </w:rPr>
      </w:pPr>
      <w:r>
        <w:rPr>
          <w:rFonts w:hint="eastAsia" w:ascii="Times New Roman" w:hAnsi="Times New Roman" w:eastAsia="楷体" w:cs="Times New Roman"/>
          <w:sz w:val="32"/>
          <w:szCs w:val="32"/>
        </w:rPr>
        <w:t>灵长类脑图谱研究，对脑认知、脑疾病、类脑智能研究具有重要战略意义。该团队聚焦灵长类脑图谱研究，在该领域取得系列原创性成果。团队完成国际首套猕猴屏状核多模态图谱与前额叶单神经元高精度投射图谱，为理解意识产生和抉择认知提供了重要研究思路。建成完备的灵长类细胞特异性靶向工具资源库，为深入解析脑图谱数据资源提供关键技术；发现灵长类皮层双梯度组织规律，统一两类皮层演化假说，实现了皮层组织理论的原创突破；揭示啮齿类与灵长类海马结构和细胞类型的进化规律，为理解海马脑区的进化与功能提供了分子细胞学基础。鉴于该项目成果的原创性、重要性和引领性，我单位郑重推荐其为中国科学院杰出科技成就奖(基础研究奖)候选项目。</w:t>
      </w:r>
    </w:p>
    <w:p w14:paraId="70B55C7A">
      <w:pPr>
        <w:spacing w:before="156" w:beforeLines="50" w:line="560" w:lineRule="exact"/>
        <w:ind w:left="315" w:leftChars="150"/>
        <w:rPr>
          <w:rFonts w:ascii="Times New Roman" w:hAnsi="Times New Roman" w:eastAsia="楷体" w:cs="Times New Roman"/>
          <w:sz w:val="32"/>
          <w:szCs w:val="32"/>
        </w:rPr>
      </w:pPr>
    </w:p>
    <w:p w14:paraId="226822E2">
      <w:pPr>
        <w:spacing w:before="156" w:beforeLines="50" w:line="560" w:lineRule="exact"/>
        <w:ind w:left="1112" w:leftChars="300" w:hanging="482" w:hangingChars="150"/>
        <w:rPr>
          <w:rFonts w:ascii="Times New Roman" w:hAnsi="Times New Roman" w:eastAsia="楷体" w:cs="Times New Roman"/>
          <w:bCs/>
          <w:sz w:val="32"/>
          <w:szCs w:val="32"/>
        </w:rPr>
      </w:pPr>
      <w:r>
        <w:rPr>
          <w:rFonts w:hint="eastAsia" w:ascii="Times New Roman" w:hAnsi="Times New Roman" w:eastAsia="楷体" w:cs="Times New Roman"/>
          <w:b/>
          <w:sz w:val="32"/>
          <w:szCs w:val="32"/>
        </w:rPr>
        <w:t>2. 代表性论文专著列表、其他知识产权和标准等列表</w:t>
      </w:r>
    </w:p>
    <w:tbl>
      <w:tblPr>
        <w:tblStyle w:val="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216"/>
        <w:gridCol w:w="867"/>
        <w:gridCol w:w="1666"/>
        <w:gridCol w:w="3121"/>
      </w:tblGrid>
      <w:tr w14:paraId="2D9A54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82" w:type="pct"/>
            <w:noWrap w:val="0"/>
            <w:vAlign w:val="center"/>
          </w:tcPr>
          <w:p w14:paraId="7B4C27F3">
            <w:pPr>
              <w:pStyle w:val="2"/>
              <w:adjustRightInd w:val="0"/>
              <w:spacing w:line="400" w:lineRule="exact"/>
              <w:ind w:firstLine="0" w:firstLineChars="0"/>
              <w:jc w:val="center"/>
              <w:outlineLvl w:val="1"/>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序号</w:t>
            </w:r>
          </w:p>
        </w:tc>
        <w:tc>
          <w:tcPr>
            <w:tcW w:w="1300" w:type="pct"/>
            <w:noWrap w:val="0"/>
            <w:vAlign w:val="center"/>
          </w:tcPr>
          <w:p w14:paraId="630EA7A0">
            <w:pPr>
              <w:pStyle w:val="2"/>
              <w:adjustRightInd w:val="0"/>
              <w:spacing w:line="400" w:lineRule="exact"/>
              <w:ind w:firstLine="0" w:firstLineChars="0"/>
              <w:jc w:val="center"/>
              <w:outlineLvl w:val="1"/>
              <w:rPr>
                <w:rFonts w:ascii="Times New Roman" w:hAnsi="Times New Roman" w:cs="Times New Roman"/>
                <w:sz w:val="28"/>
                <w:szCs w:val="28"/>
                <w:lang w:val="en-US" w:eastAsia="zh-CN"/>
              </w:rPr>
            </w:pPr>
            <w:r>
              <w:rPr>
                <w:rFonts w:ascii="Times New Roman" w:hAnsi="Times New Roman" w:cs="Times New Roman"/>
                <w:color w:val="000000"/>
                <w:sz w:val="28"/>
                <w:szCs w:val="28"/>
                <w:lang w:val="en-US" w:eastAsia="zh-CN"/>
              </w:rPr>
              <w:t>论文（专著）名称</w:t>
            </w:r>
          </w:p>
        </w:tc>
        <w:tc>
          <w:tcPr>
            <w:tcW w:w="508" w:type="pct"/>
            <w:noWrap w:val="0"/>
            <w:vAlign w:val="center"/>
          </w:tcPr>
          <w:p w14:paraId="6B57E629">
            <w:pPr>
              <w:pStyle w:val="6"/>
              <w:spacing w:line="400" w:lineRule="exact"/>
              <w:ind w:firstLine="0" w:firstLineChars="0"/>
              <w:jc w:val="center"/>
              <w:outlineLvl w:val="0"/>
              <w:rPr>
                <w:rFonts w:ascii="Times New Roman" w:hAnsi="Times New Roman" w:cs="Times New Roman"/>
                <w:bCs/>
                <w:color w:val="000000"/>
                <w:sz w:val="28"/>
                <w:szCs w:val="28"/>
                <w:lang w:val="en-US" w:eastAsia="zh-CN"/>
              </w:rPr>
            </w:pPr>
            <w:r>
              <w:rPr>
                <w:rFonts w:ascii="Times New Roman" w:hAnsi="Times New Roman" w:cs="Times New Roman"/>
                <w:color w:val="000000"/>
                <w:sz w:val="28"/>
                <w:szCs w:val="28"/>
                <w:lang w:val="en-US" w:eastAsia="zh-CN"/>
              </w:rPr>
              <w:t>刊名</w:t>
            </w:r>
          </w:p>
        </w:tc>
        <w:tc>
          <w:tcPr>
            <w:tcW w:w="977" w:type="pct"/>
            <w:noWrap w:val="0"/>
            <w:vAlign w:val="center"/>
          </w:tcPr>
          <w:p w14:paraId="463CC6B3">
            <w:pPr>
              <w:pStyle w:val="2"/>
              <w:adjustRightInd w:val="0"/>
              <w:spacing w:line="400" w:lineRule="exact"/>
              <w:ind w:firstLine="0" w:firstLineChars="0"/>
              <w:jc w:val="center"/>
              <w:outlineLvl w:val="1"/>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年卷页码</w:t>
            </w:r>
          </w:p>
          <w:p w14:paraId="48F7195E">
            <w:pPr>
              <w:pStyle w:val="2"/>
              <w:adjustRightInd w:val="0"/>
              <w:spacing w:line="400" w:lineRule="exact"/>
              <w:ind w:firstLine="0" w:firstLineChars="0"/>
              <w:jc w:val="center"/>
              <w:outlineLvl w:val="1"/>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（xx年xx卷xx页）</w:t>
            </w:r>
          </w:p>
        </w:tc>
        <w:tc>
          <w:tcPr>
            <w:tcW w:w="1831" w:type="pct"/>
            <w:noWrap w:val="0"/>
            <w:vAlign w:val="center"/>
          </w:tcPr>
          <w:p w14:paraId="42293826">
            <w:pPr>
              <w:pStyle w:val="6"/>
              <w:spacing w:line="400" w:lineRule="exact"/>
              <w:ind w:firstLine="0" w:firstLineChars="0"/>
              <w:jc w:val="center"/>
              <w:outlineLvl w:val="0"/>
              <w:rPr>
                <w:rFonts w:ascii="Times New Roman" w:hAnsi="Times New Roman" w:cs="Times New Roman"/>
                <w:bCs/>
                <w:color w:val="000000"/>
                <w:spacing w:val="-20"/>
                <w:sz w:val="28"/>
                <w:szCs w:val="28"/>
                <w:lang w:val="en-US" w:eastAsia="zh-CN"/>
              </w:rPr>
            </w:pPr>
            <w:r>
              <w:rPr>
                <w:rFonts w:ascii="Times New Roman" w:hAnsi="Times New Roman" w:cs="Times New Roman"/>
                <w:bCs/>
                <w:color w:val="000000"/>
                <w:spacing w:val="-20"/>
                <w:sz w:val="28"/>
                <w:szCs w:val="28"/>
                <w:lang w:val="en-US" w:eastAsia="zh-CN"/>
              </w:rPr>
              <w:t>全部作者</w:t>
            </w:r>
          </w:p>
        </w:tc>
      </w:tr>
      <w:tr w14:paraId="0AF1C2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2" w:type="pct"/>
            <w:shd w:val="clear" w:color="auto" w:fill="auto"/>
            <w:noWrap w:val="0"/>
            <w:vAlign w:val="center"/>
          </w:tcPr>
          <w:p w14:paraId="0C19279E">
            <w:pPr>
              <w:pStyle w:val="6"/>
              <w:spacing w:line="390" w:lineRule="exact"/>
              <w:ind w:firstLine="0" w:firstLineChars="0"/>
              <w:jc w:val="center"/>
              <w:outlineLvl w:val="0"/>
              <w:rPr>
                <w:rFonts w:ascii="Times New Roman" w:hAnsi="Times New Roman" w:cs="Times New Roman" w:eastAsiaTheme="minorEastAsia"/>
                <w:color w:val="000000"/>
                <w:kern w:val="2"/>
                <w:sz w:val="28"/>
                <w:szCs w:val="28"/>
                <w:lang w:val="en-US" w:eastAsia="zh-CN" w:bidi="ar-SA"/>
              </w:rPr>
            </w:pPr>
            <w:r>
              <w:rPr>
                <w:rFonts w:hint="eastAsia" w:ascii="Times New Roman" w:hAnsi="Times New Roman" w:cs="Times New Roman"/>
                <w:color w:val="000000"/>
                <w:sz w:val="28"/>
                <w:szCs w:val="28"/>
                <w:lang w:val="en-US" w:eastAsia="zh-CN"/>
              </w:rPr>
              <w:t>1</w:t>
            </w:r>
          </w:p>
        </w:tc>
        <w:tc>
          <w:tcPr>
            <w:tcW w:w="1300" w:type="pct"/>
            <w:shd w:val="clear" w:color="auto" w:fill="auto"/>
            <w:noWrap w:val="0"/>
            <w:vAlign w:val="center"/>
          </w:tcPr>
          <w:p w14:paraId="54B2A031">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Single-cell spatial transcriptome atlas and whole-brain connectivity of the macaque claustrum</w:t>
            </w:r>
          </w:p>
        </w:tc>
        <w:tc>
          <w:tcPr>
            <w:tcW w:w="508" w:type="pct"/>
            <w:shd w:val="clear" w:color="auto" w:fill="auto"/>
            <w:noWrap w:val="0"/>
            <w:vAlign w:val="center"/>
          </w:tcPr>
          <w:p w14:paraId="0264EFEF">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color w:val="000000"/>
                <w:lang w:val="en-US" w:eastAsia="zh-CN"/>
              </w:rPr>
              <w:t>Cell</w:t>
            </w:r>
          </w:p>
        </w:tc>
        <w:tc>
          <w:tcPr>
            <w:tcW w:w="977" w:type="pct"/>
            <w:shd w:val="clear" w:color="auto" w:fill="auto"/>
            <w:noWrap w:val="0"/>
            <w:vAlign w:val="center"/>
          </w:tcPr>
          <w:p w14:paraId="4F479767">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2025 Mar 30:S0092-8674(25)00273-9.</w:t>
            </w:r>
          </w:p>
        </w:tc>
        <w:tc>
          <w:tcPr>
            <w:tcW w:w="1831" w:type="pct"/>
            <w:shd w:val="clear" w:color="auto" w:fill="auto"/>
            <w:noWrap w:val="0"/>
            <w:vAlign w:val="center"/>
          </w:tcPr>
          <w:p w14:paraId="37FE8F41">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Lei, Y., Liu, Y., Wang, M., Yuan, N., Hou, Y., Ding, L., Zhu, Z., Wu, Z., Li, C., Zheng, M., Zhang, R., Gomes, A.,Xu, F., Luo, Z., Liu, Z., Chai, Q., Misery, P., Zhong, Y., Song, X., Lamy, C., Cui, W., Yu, Q., Fang, J., An, Y., Tian, Y., Liu, Y., Sun, X., Wang, R., Li, H., Song, J., Tan, X., Wang, H., Wang, S., Han, L., Zhang, Y., Li, S., Wang, K., Wang, G., Zhou, W., Liu, J., Yu, C., Zhang, S., Chang, L., Toplanaj, D., Chen, M., Liu, J., Zhao , Y., Ren, B., Shi, H., Zhang, H., Yan, H., Ma, J., Wang, L., Li, Y., Zuo, Y., Lu, L., Gu, L., Li, S., Wang, Y., He, Y., Li, S., Zhang, Q., Lu, Y., Dou, Y., Liu, Y., Zhao, A., Zhang, M., Zhang, X., Xia, Y., Zhang, W., Cao, H., Lu, Z., Yu, Z., Li, X., Wang, X., Liang, Z., Xu, S., Liu, C., Zheng, C., Xu, C., Liu, Z., Li, C., Sun, Y., Xu, X., Dehay, C., Vezoli. J., Poo, M., Yao, J.*, Liu, L.*, Wei, W.*, Kennedy, H.*, </w:t>
            </w:r>
            <w:r>
              <w:rPr>
                <w:rFonts w:hint="default" w:ascii="Times New Roman" w:hAnsi="Times New Roman" w:cs="Times New Roman"/>
                <w:b/>
                <w:bCs/>
                <w:sz w:val="28"/>
                <w:szCs w:val="28"/>
              </w:rPr>
              <w:t>Shen, Z.*</w:t>
            </w:r>
          </w:p>
        </w:tc>
      </w:tr>
      <w:tr w14:paraId="2680CD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2" w:type="pct"/>
            <w:shd w:val="clear" w:color="auto" w:fill="auto"/>
            <w:noWrap w:val="0"/>
            <w:vAlign w:val="center"/>
          </w:tcPr>
          <w:p w14:paraId="0A539A70">
            <w:pPr>
              <w:pStyle w:val="6"/>
              <w:spacing w:line="390" w:lineRule="exact"/>
              <w:ind w:firstLine="0" w:firstLineChars="0"/>
              <w:jc w:val="center"/>
              <w:outlineLvl w:val="0"/>
              <w:rPr>
                <w:rFonts w:ascii="Times New Roman" w:hAnsi="Times New Roman" w:cs="Times New Roman" w:eastAsiaTheme="minorEastAsia"/>
                <w:color w:val="000000"/>
                <w:kern w:val="2"/>
                <w:sz w:val="28"/>
                <w:szCs w:val="28"/>
                <w:lang w:val="en-US" w:eastAsia="zh-CN" w:bidi="ar-SA"/>
              </w:rPr>
            </w:pPr>
            <w:r>
              <w:rPr>
                <w:rFonts w:hint="eastAsia" w:ascii="Times New Roman" w:hAnsi="Times New Roman" w:cs="Times New Roman"/>
                <w:color w:val="000000"/>
                <w:sz w:val="28"/>
                <w:szCs w:val="28"/>
                <w:lang w:val="en-US" w:eastAsia="zh-CN"/>
              </w:rPr>
              <w:t>2</w:t>
            </w:r>
          </w:p>
        </w:tc>
        <w:tc>
          <w:tcPr>
            <w:tcW w:w="1300" w:type="pct"/>
            <w:shd w:val="clear" w:color="auto" w:fill="auto"/>
            <w:noWrap w:val="0"/>
            <w:vAlign w:val="center"/>
          </w:tcPr>
          <w:p w14:paraId="367FC77F">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Single-neuron projectomes of macaque prefrontal cortex reveal refined axon targeting and arborization</w:t>
            </w:r>
          </w:p>
        </w:tc>
        <w:tc>
          <w:tcPr>
            <w:tcW w:w="508" w:type="pct"/>
            <w:shd w:val="clear" w:color="auto" w:fill="auto"/>
            <w:noWrap w:val="0"/>
            <w:vAlign w:val="center"/>
          </w:tcPr>
          <w:p w14:paraId="4F6E87E2">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color w:val="000000"/>
                <w:lang w:val="en-US" w:eastAsia="zh-CN"/>
              </w:rPr>
              <w:t>Cell</w:t>
            </w:r>
          </w:p>
        </w:tc>
        <w:tc>
          <w:tcPr>
            <w:tcW w:w="977" w:type="pct"/>
            <w:shd w:val="clear" w:color="auto" w:fill="auto"/>
            <w:noWrap w:val="0"/>
            <w:vAlign w:val="center"/>
          </w:tcPr>
          <w:p w14:paraId="0D4EE5B8">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 xml:space="preserve">2025 Jul 10;188(14):3806-3822.e24. </w:t>
            </w:r>
          </w:p>
        </w:tc>
        <w:tc>
          <w:tcPr>
            <w:tcW w:w="1831" w:type="pct"/>
            <w:shd w:val="clear" w:color="auto" w:fill="auto"/>
            <w:noWrap w:val="0"/>
            <w:vAlign w:val="center"/>
          </w:tcPr>
          <w:p w14:paraId="7ADF33AA">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 xml:space="preserve">Gou L, Wang Y, Gao L, Liu S, Wang M, Chai Q, Fang J, Zhan L, Shen X, Jiang T, Ren W, Ren M, Jia X, Xiao C, Li A, Li X, Luo Q, Okazawa G, Yang T, Liu Z, Poo MM, Yang X, </w:t>
            </w:r>
            <w:r>
              <w:rPr>
                <w:rFonts w:hint="default" w:ascii="Times New Roman" w:hAnsi="Times New Roman" w:cs="Times New Roman"/>
                <w:b/>
                <w:bCs/>
                <w:sz w:val="28"/>
                <w:szCs w:val="28"/>
              </w:rPr>
              <w:t>Shen Z, Xu C, Yan J</w:t>
            </w:r>
            <w:r>
              <w:rPr>
                <w:rFonts w:hint="default" w:ascii="Times New Roman" w:hAnsi="Times New Roman" w:cs="Times New Roman"/>
                <w:sz w:val="28"/>
                <w:szCs w:val="28"/>
              </w:rPr>
              <w:t>.</w:t>
            </w:r>
          </w:p>
        </w:tc>
      </w:tr>
      <w:tr w14:paraId="00916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2" w:type="pct"/>
            <w:shd w:val="clear" w:color="auto" w:fill="auto"/>
            <w:noWrap w:val="0"/>
            <w:vAlign w:val="center"/>
          </w:tcPr>
          <w:p w14:paraId="4DCA1898">
            <w:pPr>
              <w:pStyle w:val="6"/>
              <w:spacing w:line="390" w:lineRule="exact"/>
              <w:ind w:firstLine="0" w:firstLineChars="0"/>
              <w:jc w:val="center"/>
              <w:outlineLvl w:val="0"/>
              <w:rPr>
                <w:rFonts w:ascii="Times New Roman" w:hAnsi="Times New Roman" w:cs="Times New Roman" w:eastAsiaTheme="minorEastAsia"/>
                <w:color w:val="000000"/>
                <w:kern w:val="2"/>
                <w:sz w:val="28"/>
                <w:szCs w:val="28"/>
                <w:lang w:val="en-US" w:eastAsia="zh-CN" w:bidi="ar-SA"/>
              </w:rPr>
            </w:pPr>
            <w:r>
              <w:rPr>
                <w:rFonts w:hint="eastAsia" w:ascii="Times New Roman" w:hAnsi="Times New Roman" w:cs="Times New Roman"/>
                <w:color w:val="000000"/>
                <w:sz w:val="28"/>
                <w:szCs w:val="28"/>
                <w:lang w:val="en-US" w:eastAsia="zh-CN"/>
              </w:rPr>
              <w:t>3</w:t>
            </w:r>
          </w:p>
        </w:tc>
        <w:tc>
          <w:tcPr>
            <w:tcW w:w="1300" w:type="pct"/>
            <w:shd w:val="clear" w:color="auto" w:fill="auto"/>
            <w:noWrap w:val="0"/>
            <w:vAlign w:val="center"/>
          </w:tcPr>
          <w:p w14:paraId="3BA9D32A">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Identification and application of cell-type-specific enhancers for the macaque brain</w:t>
            </w:r>
          </w:p>
        </w:tc>
        <w:tc>
          <w:tcPr>
            <w:tcW w:w="508" w:type="pct"/>
            <w:shd w:val="clear" w:color="auto" w:fill="auto"/>
            <w:noWrap w:val="0"/>
            <w:vAlign w:val="center"/>
          </w:tcPr>
          <w:p w14:paraId="641A116C">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color w:val="000000"/>
                <w:lang w:val="en-US" w:eastAsia="zh-CN"/>
              </w:rPr>
              <w:t>Cell</w:t>
            </w:r>
          </w:p>
        </w:tc>
        <w:tc>
          <w:tcPr>
            <w:tcW w:w="977" w:type="pct"/>
            <w:shd w:val="clear" w:color="auto" w:fill="auto"/>
            <w:noWrap w:val="0"/>
            <w:vAlign w:val="center"/>
          </w:tcPr>
          <w:p w14:paraId="24E81B43">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2025 Jul 10:S0092-8674(25)00742-1.</w:t>
            </w:r>
          </w:p>
        </w:tc>
        <w:tc>
          <w:tcPr>
            <w:tcW w:w="1831" w:type="pct"/>
            <w:shd w:val="clear" w:color="auto" w:fill="auto"/>
            <w:noWrap w:val="0"/>
            <w:vAlign w:val="center"/>
          </w:tcPr>
          <w:p w14:paraId="3D03B742">
            <w:pPr>
              <w:pStyle w:val="6"/>
              <w:spacing w:line="390" w:lineRule="exact"/>
              <w:ind w:left="0" w:leftChars="0" w:firstLine="0" w:firstLineChars="0"/>
              <w:jc w:val="both"/>
              <w:outlineLvl w:val="0"/>
              <w:rPr>
                <w:rFonts w:hint="default" w:ascii="Times New Roman" w:hAnsi="Times New Roman" w:cs="Times New Roman" w:eastAsiaTheme="minorEastAsia"/>
                <w:color w:val="000000"/>
                <w:kern w:val="2"/>
                <w:sz w:val="24"/>
                <w:szCs w:val="22"/>
                <w:lang w:val="en-US" w:eastAsia="zh-CN" w:bidi="ar-SA"/>
              </w:rPr>
            </w:pPr>
            <w:r>
              <w:rPr>
                <w:rFonts w:hint="default" w:ascii="Times New Roman" w:hAnsi="Times New Roman" w:cs="Times New Roman"/>
                <w:sz w:val="28"/>
                <w:szCs w:val="28"/>
              </w:rPr>
              <w:t xml:space="preserve">Li L, Huang Y, Lu D, Fu J, Wu L, Chen Z, Liao H, Zhang J, Li L, Gu T, He F, Liu H, Leng X, Tang J, Yan J, Liu C, Li C, Huang H, Wang L, Liu L, Li C, Poo MM, Li H, Sun Y, </w:t>
            </w:r>
            <w:r>
              <w:rPr>
                <w:rFonts w:hint="default" w:ascii="Times New Roman" w:hAnsi="Times New Roman" w:cs="Times New Roman"/>
                <w:b/>
                <w:bCs/>
                <w:sz w:val="28"/>
                <w:szCs w:val="28"/>
              </w:rPr>
              <w:t>Liu Z.</w:t>
            </w:r>
          </w:p>
        </w:tc>
      </w:tr>
      <w:tr w14:paraId="1D366F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2" w:type="pct"/>
            <w:noWrap w:val="0"/>
            <w:vAlign w:val="center"/>
          </w:tcPr>
          <w:p w14:paraId="768ABFC1">
            <w:pPr>
              <w:pStyle w:val="6"/>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4</w:t>
            </w:r>
          </w:p>
        </w:tc>
        <w:tc>
          <w:tcPr>
            <w:tcW w:w="1300" w:type="pct"/>
            <w:noWrap w:val="0"/>
            <w:vAlign w:val="center"/>
          </w:tcPr>
          <w:p w14:paraId="79D1CF43">
            <w:pPr>
              <w:pStyle w:val="6"/>
              <w:spacing w:line="390" w:lineRule="exact"/>
              <w:ind w:left="0" w:leftChars="0" w:firstLine="0" w:firstLineChars="0"/>
              <w:jc w:val="both"/>
              <w:outlineLvl w:val="0"/>
              <w:rPr>
                <w:rFonts w:hint="default" w:ascii="Times New Roman" w:hAnsi="Times New Roman" w:cs="Times New Roman"/>
                <w:color w:val="000000"/>
                <w:lang w:val="en-US" w:eastAsia="zh-CN"/>
              </w:rPr>
            </w:pPr>
            <w:r>
              <w:rPr>
                <w:rFonts w:hint="default" w:ascii="Times New Roman" w:hAnsi="Times New Roman" w:cs="Times New Roman"/>
                <w:sz w:val="28"/>
                <w:szCs w:val="28"/>
              </w:rPr>
              <w:t>An opposing molecular gradient axis underlies primate cortical organization</w:t>
            </w:r>
          </w:p>
        </w:tc>
        <w:tc>
          <w:tcPr>
            <w:tcW w:w="508" w:type="pct"/>
            <w:noWrap w:val="0"/>
            <w:vAlign w:val="center"/>
          </w:tcPr>
          <w:p w14:paraId="69B14755">
            <w:pPr>
              <w:pStyle w:val="6"/>
              <w:spacing w:line="390" w:lineRule="exact"/>
              <w:ind w:left="0" w:leftChars="0" w:firstLine="0" w:firstLineChars="0"/>
              <w:jc w:val="both"/>
              <w:outlineLvl w:val="0"/>
              <w:rPr>
                <w:rFonts w:hint="default" w:ascii="Times New Roman" w:hAnsi="Times New Roman" w:cs="Times New Roman"/>
                <w:color w:val="000000"/>
                <w:lang w:val="en-US" w:eastAsia="zh-CN"/>
              </w:rPr>
            </w:pPr>
            <w:r>
              <w:rPr>
                <w:rFonts w:hint="default" w:ascii="Times New Roman" w:hAnsi="Times New Roman" w:cs="Times New Roman"/>
                <w:sz w:val="28"/>
                <w:szCs w:val="28"/>
              </w:rPr>
              <w:t>Science</w:t>
            </w:r>
          </w:p>
        </w:tc>
        <w:tc>
          <w:tcPr>
            <w:tcW w:w="977" w:type="pct"/>
            <w:noWrap w:val="0"/>
            <w:vAlign w:val="center"/>
          </w:tcPr>
          <w:p w14:paraId="0624C92B">
            <w:pPr>
              <w:pStyle w:val="6"/>
              <w:spacing w:line="390" w:lineRule="exact"/>
              <w:ind w:left="0" w:leftChars="0" w:firstLine="0" w:firstLineChars="0"/>
              <w:jc w:val="both"/>
              <w:outlineLvl w:val="0"/>
              <w:rPr>
                <w:rFonts w:hint="default" w:ascii="Times New Roman" w:hAnsi="Times New Roman" w:cs="Times New Roman"/>
                <w:color w:val="000000"/>
                <w:lang w:val="en-US" w:eastAsia="zh-CN"/>
              </w:rPr>
            </w:pPr>
            <w:r>
              <w:rPr>
                <w:rFonts w:hint="default" w:ascii="Times New Roman" w:hAnsi="Times New Roman" w:cs="Times New Roman"/>
                <w:sz w:val="28"/>
                <w:szCs w:val="28"/>
              </w:rPr>
              <w:t>2026 Apr 16;392(6795):eaea2673.</w:t>
            </w:r>
          </w:p>
        </w:tc>
        <w:tc>
          <w:tcPr>
            <w:tcW w:w="1831" w:type="pct"/>
            <w:noWrap w:val="0"/>
            <w:vAlign w:val="center"/>
          </w:tcPr>
          <w:p w14:paraId="02D3B27F">
            <w:pPr>
              <w:pStyle w:val="6"/>
              <w:spacing w:line="390" w:lineRule="exact"/>
              <w:ind w:left="0" w:leftChars="0" w:firstLine="0" w:firstLineChars="0"/>
              <w:jc w:val="both"/>
              <w:outlineLvl w:val="0"/>
              <w:rPr>
                <w:rFonts w:hint="default" w:ascii="Times New Roman" w:hAnsi="Times New Roman" w:cs="Times New Roman"/>
                <w:color w:val="000000"/>
                <w:lang w:val="en-US" w:eastAsia="zh-CN"/>
              </w:rPr>
            </w:pPr>
            <w:r>
              <w:rPr>
                <w:rFonts w:hint="default" w:ascii="Times New Roman" w:hAnsi="Times New Roman" w:cs="Times New Roman"/>
                <w:sz w:val="28"/>
                <w:szCs w:val="28"/>
              </w:rPr>
              <w:t xml:space="preserve">Huang Z, Yang Q, Li S, Zhu X, Wang H, Lin J, Zhan Y, Wu Y, Wang Z, Majka P, Qu H, Atapour N, Yang T, Lin Y, Cui L, Yao YG, Liang Z, Liu Z, Li C, Wei W, Zhou Y, Ma S, Shen Z, Wei X, Xu X, Liu S, Li C, Poo M, Liu L, Rosa MGP, Sun Y, Hao S, </w:t>
            </w:r>
            <w:r>
              <w:rPr>
                <w:rFonts w:hint="default" w:ascii="Times New Roman" w:hAnsi="Times New Roman" w:cs="Times New Roman"/>
                <w:b/>
                <w:bCs/>
                <w:sz w:val="28"/>
                <w:szCs w:val="28"/>
              </w:rPr>
              <w:t>Liu C.</w:t>
            </w:r>
          </w:p>
        </w:tc>
      </w:tr>
      <w:tr w14:paraId="2E531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2" w:type="pct"/>
            <w:noWrap w:val="0"/>
            <w:vAlign w:val="center"/>
          </w:tcPr>
          <w:p w14:paraId="16443690">
            <w:pPr>
              <w:pStyle w:val="6"/>
              <w:spacing w:line="390" w:lineRule="exact"/>
              <w:ind w:firstLine="0" w:firstLineChars="0"/>
              <w:jc w:val="center"/>
              <w:outlineLvl w:val="0"/>
              <w:rPr>
                <w:rFonts w:ascii="Times New Roman" w:hAnsi="Times New Roman" w:cs="Times New Roman"/>
                <w:color w:val="000000"/>
                <w:sz w:val="28"/>
                <w:szCs w:val="28"/>
                <w:lang w:val="en-US" w:eastAsia="zh-CN"/>
              </w:rPr>
            </w:pPr>
            <w:r>
              <w:rPr>
                <w:rFonts w:ascii="Times New Roman" w:hAnsi="Times New Roman" w:cs="Times New Roman"/>
                <w:color w:val="000000"/>
                <w:sz w:val="28"/>
                <w:szCs w:val="28"/>
                <w:lang w:val="en-US" w:eastAsia="zh-CN"/>
              </w:rPr>
              <w:t>5</w:t>
            </w:r>
          </w:p>
        </w:tc>
        <w:tc>
          <w:tcPr>
            <w:tcW w:w="1300" w:type="pct"/>
            <w:noWrap w:val="0"/>
            <w:vAlign w:val="center"/>
          </w:tcPr>
          <w:p w14:paraId="238A7264">
            <w:pPr>
              <w:pStyle w:val="6"/>
              <w:spacing w:line="390" w:lineRule="exact"/>
              <w:ind w:left="0" w:leftChars="0" w:firstLine="0" w:firstLineChars="0"/>
              <w:jc w:val="both"/>
              <w:outlineLvl w:val="0"/>
              <w:rPr>
                <w:rFonts w:ascii="Times New Roman" w:hAnsi="Times New Roman" w:cs="Times New Roman"/>
                <w:color w:val="000000"/>
                <w:lang w:val="en-US" w:eastAsia="zh-CN"/>
              </w:rPr>
            </w:pPr>
            <w:r>
              <w:rPr>
                <w:rFonts w:hint="default" w:ascii="Times New Roman" w:hAnsi="Times New Roman" w:cs="Times New Roman"/>
                <w:sz w:val="28"/>
                <w:szCs w:val="28"/>
              </w:rPr>
              <w:t>Evolutionary convergence and divergence of hippocampal cytoarchitecture between rodents and primates revealed by single-cell spatial transcriptomics</w:t>
            </w:r>
          </w:p>
        </w:tc>
        <w:tc>
          <w:tcPr>
            <w:tcW w:w="508" w:type="pct"/>
            <w:noWrap w:val="0"/>
            <w:vAlign w:val="center"/>
          </w:tcPr>
          <w:p w14:paraId="560174E0">
            <w:pPr>
              <w:pStyle w:val="6"/>
              <w:spacing w:line="390" w:lineRule="exact"/>
              <w:ind w:left="0" w:leftChars="0" w:firstLine="0" w:firstLineChars="0"/>
              <w:jc w:val="both"/>
              <w:outlineLvl w:val="0"/>
              <w:rPr>
                <w:rFonts w:ascii="Times New Roman" w:hAnsi="Times New Roman" w:cs="Times New Roman"/>
                <w:color w:val="000000"/>
                <w:lang w:val="en-US" w:eastAsia="zh-CN"/>
              </w:rPr>
            </w:pPr>
            <w:r>
              <w:rPr>
                <w:rFonts w:hint="default" w:ascii="Times New Roman" w:hAnsi="Times New Roman" w:cs="Times New Roman"/>
                <w:sz w:val="28"/>
                <w:szCs w:val="28"/>
              </w:rPr>
              <w:t>National Science Review</w:t>
            </w:r>
          </w:p>
        </w:tc>
        <w:tc>
          <w:tcPr>
            <w:tcW w:w="977" w:type="pct"/>
            <w:noWrap w:val="0"/>
            <w:vAlign w:val="center"/>
          </w:tcPr>
          <w:p w14:paraId="2C92F45C">
            <w:pPr>
              <w:pStyle w:val="6"/>
              <w:spacing w:line="390" w:lineRule="exact"/>
              <w:ind w:left="0" w:leftChars="0" w:firstLine="0" w:firstLineChars="0"/>
              <w:jc w:val="both"/>
              <w:outlineLvl w:val="0"/>
              <w:rPr>
                <w:rFonts w:ascii="Times New Roman" w:hAnsi="Times New Roman" w:cs="Times New Roman"/>
                <w:color w:val="000000"/>
                <w:lang w:val="en-US" w:eastAsia="zh-CN"/>
              </w:rPr>
            </w:pPr>
            <w:r>
              <w:rPr>
                <w:rFonts w:hint="default" w:ascii="Times New Roman" w:hAnsi="Times New Roman" w:cs="Times New Roman"/>
                <w:sz w:val="24"/>
                <w:szCs w:val="24"/>
              </w:rPr>
              <w:t>2026 Jan 2;13(5):nwaf595.</w:t>
            </w:r>
          </w:p>
        </w:tc>
        <w:tc>
          <w:tcPr>
            <w:tcW w:w="1831" w:type="pct"/>
            <w:noWrap w:val="0"/>
            <w:vAlign w:val="center"/>
          </w:tcPr>
          <w:p w14:paraId="0FEC84B4">
            <w:pPr>
              <w:pStyle w:val="6"/>
              <w:spacing w:line="390" w:lineRule="exact"/>
              <w:ind w:left="0" w:leftChars="0" w:firstLine="0" w:firstLineChars="0"/>
              <w:jc w:val="both"/>
              <w:outlineLvl w:val="0"/>
              <w:rPr>
                <w:rFonts w:hint="eastAsia" w:ascii="Times New Roman" w:hAnsi="Times New Roman" w:cs="Times New Roman" w:eastAsiaTheme="minorEastAsia"/>
                <w:color w:val="000000"/>
                <w:lang w:val="en-US" w:eastAsia="zh-CN"/>
              </w:rPr>
            </w:pPr>
            <w:r>
              <w:rPr>
                <w:rFonts w:hint="default" w:ascii="Times New Roman" w:hAnsi="Times New Roman" w:cs="Times New Roman"/>
                <w:sz w:val="28"/>
                <w:szCs w:val="28"/>
              </w:rPr>
              <w:t xml:space="preserve">Fei T, Dong Y, Gou X, Zhang J, Wang G, Yuan N, Zhuang Z, Chen D, Wu Z, Zhan L, Liang N, Mitsios N, Pan J, Zhan Y, Cao M, Xia Y, Yan H, Zhu X, Huang Y, Chen S, Yang H, Gu L, Wang H, Zhong Y, Yu Q, An Y, Wang R, Li S, Song J, Zhou W, Zhang S, Ren B, Lu Y, Ding W, Li S, Cao H, Lin J, Dou Y, Jiang X, Xie C, Li Y, Tan X, Xu Y, Song X, Li H, Chen M, Wang S, Zheng M, Fang J, Zhang R, Chai Q, Wang M, Li L, Gao T, Qian L, Jin C, Huang J, Deng W, Li M, Li C, Liu Z, Liang Z, Xu S, Uhlén M, Poo MM, Yao J, Liu S, </w:t>
            </w:r>
            <w:r>
              <w:rPr>
                <w:rFonts w:hint="default" w:ascii="Times New Roman" w:hAnsi="Times New Roman" w:cs="Times New Roman"/>
                <w:b/>
                <w:bCs/>
                <w:sz w:val="28"/>
                <w:szCs w:val="28"/>
              </w:rPr>
              <w:t>Liu C, Shen Z</w:t>
            </w:r>
            <w:r>
              <w:rPr>
                <w:rFonts w:hint="default" w:ascii="Times New Roman" w:hAnsi="Times New Roman" w:cs="Times New Roman"/>
                <w:sz w:val="28"/>
                <w:szCs w:val="28"/>
              </w:rPr>
              <w:t xml:space="preserve">, Sun YG, Li CT, Mulder J, Cao G, Sun Y, </w:t>
            </w:r>
            <w:r>
              <w:rPr>
                <w:rFonts w:hint="default" w:ascii="Times New Roman" w:hAnsi="Times New Roman" w:cs="Times New Roman"/>
                <w:b/>
                <w:bCs/>
                <w:sz w:val="28"/>
                <w:szCs w:val="28"/>
              </w:rPr>
              <w:t>Xu C</w:t>
            </w:r>
            <w:r>
              <w:rPr>
                <w:rFonts w:hint="eastAsia" w:ascii="Times New Roman" w:hAnsi="Times New Roman" w:cs="Times New Roman"/>
                <w:b/>
                <w:bCs/>
                <w:sz w:val="28"/>
                <w:szCs w:val="28"/>
                <w:lang w:val="en-US" w:eastAsia="zh-CN"/>
              </w:rPr>
              <w:t>.</w:t>
            </w:r>
          </w:p>
        </w:tc>
      </w:tr>
    </w:tbl>
    <w:p w14:paraId="5ECDF95B">
      <w:pPr>
        <w:spacing w:before="156" w:beforeLines="50" w:line="560" w:lineRule="exact"/>
        <w:rPr>
          <w:rFonts w:ascii="Times New Roman" w:hAnsi="Times New Roman" w:eastAsia="楷体" w:cs="Times New Roman"/>
          <w:bCs/>
          <w:sz w:val="32"/>
          <w:szCs w:val="32"/>
        </w:rPr>
      </w:pPr>
    </w:p>
    <w:p w14:paraId="59BDF71F">
      <w:pPr>
        <w:spacing w:before="156" w:beforeLines="50" w:line="560" w:lineRule="exact"/>
        <w:ind w:left="1112" w:leftChars="300" w:hanging="482" w:hangingChars="150"/>
        <w:rPr>
          <w:rFonts w:ascii="Times New Roman" w:hAnsi="Times New Roman" w:eastAsia="楷体" w:cs="Times New Roman"/>
          <w:b/>
          <w:sz w:val="32"/>
          <w:szCs w:val="32"/>
        </w:rPr>
      </w:pPr>
      <w:r>
        <w:rPr>
          <w:rFonts w:hint="eastAsia" w:ascii="Times New Roman" w:hAnsi="Times New Roman" w:eastAsia="楷体" w:cs="Times New Roman"/>
          <w:b/>
          <w:sz w:val="32"/>
          <w:szCs w:val="32"/>
        </w:rPr>
        <w:t>3. 成员贡献情况</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2098"/>
        <w:gridCol w:w="2424"/>
        <w:gridCol w:w="2424"/>
      </w:tblGrid>
      <w:tr w14:paraId="32A5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tcPr>
          <w:p w14:paraId="7754A8BB">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排序</w:t>
            </w:r>
          </w:p>
        </w:tc>
        <w:tc>
          <w:tcPr>
            <w:tcW w:w="1231" w:type="pct"/>
            <w:tcBorders>
              <w:top w:val="single" w:color="auto" w:sz="4" w:space="0"/>
              <w:left w:val="single" w:color="auto" w:sz="4" w:space="0"/>
              <w:bottom w:val="single" w:color="auto" w:sz="4" w:space="0"/>
              <w:right w:val="single" w:color="auto" w:sz="4" w:space="0"/>
            </w:tcBorders>
          </w:tcPr>
          <w:p w14:paraId="0EAEA037">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姓名</w:t>
            </w:r>
          </w:p>
        </w:tc>
        <w:tc>
          <w:tcPr>
            <w:tcW w:w="1422" w:type="pct"/>
            <w:tcBorders>
              <w:top w:val="single" w:color="auto" w:sz="4" w:space="0"/>
              <w:left w:val="single" w:color="auto" w:sz="4" w:space="0"/>
              <w:bottom w:val="single" w:color="auto" w:sz="4" w:space="0"/>
              <w:right w:val="single" w:color="auto" w:sz="4" w:space="0"/>
            </w:tcBorders>
          </w:tcPr>
          <w:p w14:paraId="355CC49E">
            <w:pPr>
              <w:jc w:val="center"/>
              <w:rPr>
                <w:rFonts w:ascii="Times New Roman" w:hAnsi="Times New Roman" w:eastAsia="黑体" w:cs="Times New Roman"/>
                <w:b/>
                <w:sz w:val="30"/>
              </w:rPr>
            </w:pPr>
            <w:r>
              <w:rPr>
                <w:rFonts w:hint="eastAsia" w:ascii="Times New Roman" w:hAnsi="Times New Roman" w:eastAsia="黑体" w:cs="Times New Roman"/>
                <w:b/>
                <w:sz w:val="30"/>
              </w:rPr>
              <w:t>工作单位</w:t>
            </w:r>
          </w:p>
        </w:tc>
        <w:tc>
          <w:tcPr>
            <w:tcW w:w="1422" w:type="pct"/>
            <w:tcBorders>
              <w:top w:val="single" w:color="auto" w:sz="4" w:space="0"/>
              <w:left w:val="single" w:color="auto" w:sz="4" w:space="0"/>
              <w:bottom w:val="single" w:color="auto" w:sz="4" w:space="0"/>
              <w:right w:val="single" w:color="auto" w:sz="4" w:space="0"/>
            </w:tcBorders>
          </w:tcPr>
          <w:p w14:paraId="5DDB4E71">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主要贡献</w:t>
            </w:r>
          </w:p>
        </w:tc>
      </w:tr>
      <w:tr w14:paraId="4E23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tcPr>
          <w:p w14:paraId="0242AD16">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1</w:t>
            </w:r>
          </w:p>
        </w:tc>
        <w:tc>
          <w:tcPr>
            <w:tcW w:w="1231" w:type="pct"/>
            <w:tcBorders>
              <w:top w:val="single" w:color="auto" w:sz="4" w:space="0"/>
              <w:left w:val="single" w:color="auto" w:sz="4" w:space="0"/>
              <w:bottom w:val="single" w:color="auto" w:sz="4" w:space="0"/>
              <w:right w:val="single" w:color="auto" w:sz="4" w:space="0"/>
            </w:tcBorders>
          </w:tcPr>
          <w:p w14:paraId="4CDB43B8">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刘真</w:t>
            </w:r>
          </w:p>
        </w:tc>
        <w:tc>
          <w:tcPr>
            <w:tcW w:w="1422" w:type="pct"/>
            <w:tcBorders>
              <w:top w:val="single" w:color="auto" w:sz="4" w:space="0"/>
              <w:left w:val="single" w:color="auto" w:sz="4" w:space="0"/>
              <w:bottom w:val="single" w:color="auto" w:sz="4" w:space="0"/>
              <w:right w:val="single" w:color="auto" w:sz="4" w:space="0"/>
            </w:tcBorders>
          </w:tcPr>
          <w:p w14:paraId="468B2300">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中国科学院脑科学与智能技术卓越创新中心</w:t>
            </w:r>
          </w:p>
        </w:tc>
        <w:tc>
          <w:tcPr>
            <w:tcW w:w="1422" w:type="pct"/>
            <w:tcBorders>
              <w:top w:val="single" w:color="auto" w:sz="4" w:space="0"/>
              <w:left w:val="single" w:color="auto" w:sz="4" w:space="0"/>
              <w:bottom w:val="single" w:color="auto" w:sz="4" w:space="0"/>
              <w:right w:val="single" w:color="auto" w:sz="4" w:space="0"/>
            </w:tcBorders>
          </w:tcPr>
          <w:p w14:paraId="2514A05A">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团队负责人，领导完成灵长类大脑神经细胞靶向特异性研究工具集</w:t>
            </w:r>
          </w:p>
        </w:tc>
      </w:tr>
      <w:tr w14:paraId="2834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tcPr>
          <w:p w14:paraId="4A380491">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2</w:t>
            </w:r>
          </w:p>
        </w:tc>
        <w:tc>
          <w:tcPr>
            <w:tcW w:w="1231" w:type="pct"/>
            <w:tcBorders>
              <w:top w:val="single" w:color="auto" w:sz="4" w:space="0"/>
              <w:left w:val="single" w:color="auto" w:sz="4" w:space="0"/>
              <w:bottom w:val="single" w:color="auto" w:sz="4" w:space="0"/>
              <w:right w:val="single" w:color="auto" w:sz="4" w:space="0"/>
            </w:tcBorders>
          </w:tcPr>
          <w:p w14:paraId="7684A6DB">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徐春</w:t>
            </w:r>
          </w:p>
        </w:tc>
        <w:tc>
          <w:tcPr>
            <w:tcW w:w="1422" w:type="pct"/>
            <w:tcBorders>
              <w:top w:val="single" w:color="auto" w:sz="4" w:space="0"/>
              <w:left w:val="single" w:color="auto" w:sz="4" w:space="0"/>
              <w:bottom w:val="single" w:color="auto" w:sz="4" w:space="0"/>
              <w:right w:val="single" w:color="auto" w:sz="4" w:space="0"/>
            </w:tcBorders>
          </w:tcPr>
          <w:p w14:paraId="7998DB02">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中国科学院脑科学与智能技术卓越创新中心</w:t>
            </w:r>
          </w:p>
        </w:tc>
        <w:tc>
          <w:tcPr>
            <w:tcW w:w="1422" w:type="pct"/>
            <w:tcBorders>
              <w:top w:val="single" w:color="auto" w:sz="4" w:space="0"/>
              <w:left w:val="single" w:color="auto" w:sz="4" w:space="0"/>
              <w:bottom w:val="single" w:color="auto" w:sz="4" w:space="0"/>
              <w:right w:val="single" w:color="auto" w:sz="4" w:space="0"/>
            </w:tcBorders>
          </w:tcPr>
          <w:p w14:paraId="58B23D33">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团队骨干，建立非人灵长类单细胞投射谱研究体系，领导完成海马跨物种脑图谱研究</w:t>
            </w:r>
          </w:p>
        </w:tc>
      </w:tr>
      <w:tr w14:paraId="492F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tcPr>
          <w:p w14:paraId="6961C799">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3</w:t>
            </w:r>
          </w:p>
        </w:tc>
        <w:tc>
          <w:tcPr>
            <w:tcW w:w="1231" w:type="pct"/>
            <w:tcBorders>
              <w:top w:val="single" w:color="auto" w:sz="4" w:space="0"/>
              <w:left w:val="single" w:color="auto" w:sz="4" w:space="0"/>
              <w:bottom w:val="single" w:color="auto" w:sz="4" w:space="0"/>
              <w:right w:val="single" w:color="auto" w:sz="4" w:space="0"/>
            </w:tcBorders>
          </w:tcPr>
          <w:p w14:paraId="31CDF44C">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沈志明</w:t>
            </w:r>
          </w:p>
        </w:tc>
        <w:tc>
          <w:tcPr>
            <w:tcW w:w="1422" w:type="pct"/>
            <w:tcBorders>
              <w:top w:val="single" w:color="auto" w:sz="4" w:space="0"/>
              <w:left w:val="single" w:color="auto" w:sz="4" w:space="0"/>
              <w:bottom w:val="single" w:color="auto" w:sz="4" w:space="0"/>
              <w:right w:val="single" w:color="auto" w:sz="4" w:space="0"/>
            </w:tcBorders>
          </w:tcPr>
          <w:p w14:paraId="63BDFFA1">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中国科学院脑科学与智能技术卓越创新中心</w:t>
            </w:r>
          </w:p>
        </w:tc>
        <w:tc>
          <w:tcPr>
            <w:tcW w:w="1422" w:type="pct"/>
            <w:tcBorders>
              <w:top w:val="single" w:color="auto" w:sz="4" w:space="0"/>
              <w:left w:val="single" w:color="auto" w:sz="4" w:space="0"/>
              <w:bottom w:val="single" w:color="auto" w:sz="4" w:space="0"/>
              <w:right w:val="single" w:color="auto" w:sz="4" w:space="0"/>
            </w:tcBorders>
          </w:tcPr>
          <w:p w14:paraId="70B89E2A">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团队骨干，建立非人灵长类单细胞投射谱研究体系，领导完成屏状核多模态脑图谱研究</w:t>
            </w:r>
          </w:p>
        </w:tc>
      </w:tr>
      <w:tr w14:paraId="1F97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tcPr>
          <w:p w14:paraId="0C30B2B9">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4</w:t>
            </w:r>
          </w:p>
        </w:tc>
        <w:tc>
          <w:tcPr>
            <w:tcW w:w="1231" w:type="pct"/>
            <w:tcBorders>
              <w:top w:val="single" w:color="auto" w:sz="4" w:space="0"/>
              <w:left w:val="single" w:color="auto" w:sz="4" w:space="0"/>
              <w:bottom w:val="single" w:color="auto" w:sz="4" w:space="0"/>
              <w:right w:val="single" w:color="auto" w:sz="4" w:space="0"/>
            </w:tcBorders>
          </w:tcPr>
          <w:p w14:paraId="19A40C10">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刘赐融</w:t>
            </w:r>
          </w:p>
        </w:tc>
        <w:tc>
          <w:tcPr>
            <w:tcW w:w="1422" w:type="pct"/>
            <w:tcBorders>
              <w:top w:val="single" w:color="auto" w:sz="4" w:space="0"/>
              <w:left w:val="single" w:color="auto" w:sz="4" w:space="0"/>
              <w:bottom w:val="single" w:color="auto" w:sz="4" w:space="0"/>
              <w:right w:val="single" w:color="auto" w:sz="4" w:space="0"/>
            </w:tcBorders>
          </w:tcPr>
          <w:p w14:paraId="0BD2D823">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中国科学院脑科学与智能技术卓越创新中心</w:t>
            </w:r>
          </w:p>
        </w:tc>
        <w:tc>
          <w:tcPr>
            <w:tcW w:w="1422" w:type="pct"/>
            <w:tcBorders>
              <w:top w:val="single" w:color="auto" w:sz="4" w:space="0"/>
              <w:left w:val="single" w:color="auto" w:sz="4" w:space="0"/>
              <w:bottom w:val="single" w:color="auto" w:sz="4" w:space="0"/>
              <w:right w:val="single" w:color="auto" w:sz="4" w:space="0"/>
            </w:tcBorders>
          </w:tcPr>
          <w:p w14:paraId="1ABA41E8">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团队骨干，领导完成狨猴跨物种图谱及皮层计划理论研究</w:t>
            </w:r>
          </w:p>
        </w:tc>
      </w:tr>
      <w:tr w14:paraId="4663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tcPr>
          <w:p w14:paraId="2A4E6295">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5</w:t>
            </w:r>
          </w:p>
        </w:tc>
        <w:tc>
          <w:tcPr>
            <w:tcW w:w="1231" w:type="pct"/>
            <w:tcBorders>
              <w:top w:val="single" w:color="auto" w:sz="4" w:space="0"/>
              <w:left w:val="single" w:color="auto" w:sz="4" w:space="0"/>
              <w:bottom w:val="single" w:color="auto" w:sz="4" w:space="0"/>
              <w:right w:val="single" w:color="auto" w:sz="4" w:space="0"/>
            </w:tcBorders>
          </w:tcPr>
          <w:p w14:paraId="76A18292">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严军</w:t>
            </w:r>
          </w:p>
        </w:tc>
        <w:tc>
          <w:tcPr>
            <w:tcW w:w="1422" w:type="pct"/>
            <w:tcBorders>
              <w:top w:val="single" w:color="auto" w:sz="4" w:space="0"/>
              <w:left w:val="single" w:color="auto" w:sz="4" w:space="0"/>
              <w:bottom w:val="single" w:color="auto" w:sz="4" w:space="0"/>
              <w:right w:val="single" w:color="auto" w:sz="4" w:space="0"/>
            </w:tcBorders>
          </w:tcPr>
          <w:p w14:paraId="5B7E1BC5">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中国科学院脑科学与智能技术卓越创新中心</w:t>
            </w:r>
          </w:p>
        </w:tc>
        <w:tc>
          <w:tcPr>
            <w:tcW w:w="1422" w:type="pct"/>
            <w:tcBorders>
              <w:top w:val="single" w:color="auto" w:sz="4" w:space="0"/>
              <w:left w:val="single" w:color="auto" w:sz="4" w:space="0"/>
              <w:bottom w:val="single" w:color="auto" w:sz="4" w:space="0"/>
              <w:right w:val="single" w:color="auto" w:sz="4" w:space="0"/>
            </w:tcBorders>
          </w:tcPr>
          <w:p w14:paraId="6C5FD476">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团队骨干，领导完成猕猴前额叶单细胞投射图谱研究</w:t>
            </w:r>
          </w:p>
        </w:tc>
      </w:tr>
    </w:tbl>
    <w:p w14:paraId="7EB76F9F">
      <w:pPr>
        <w:spacing w:before="156" w:beforeLines="50" w:line="460" w:lineRule="exact"/>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说明：公示内容须与推荐书相关部分一致。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D2B8D5"/>
    <w:multiLevelType w:val="singleLevel"/>
    <w:tmpl w:val="0FD2B8D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915F1"/>
    <w:rsid w:val="002710EE"/>
    <w:rsid w:val="00295A08"/>
    <w:rsid w:val="003A2D1A"/>
    <w:rsid w:val="005C25C3"/>
    <w:rsid w:val="00614308"/>
    <w:rsid w:val="00706B10"/>
    <w:rsid w:val="00815E64"/>
    <w:rsid w:val="009F649C"/>
    <w:rsid w:val="00B81876"/>
    <w:rsid w:val="00CD3972"/>
    <w:rsid w:val="669C594C"/>
    <w:rsid w:val="6ABA1DCF"/>
    <w:rsid w:val="74E915F1"/>
    <w:rsid w:val="77055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pPr>
      <w:spacing w:line="360" w:lineRule="auto"/>
      <w:ind w:firstLine="480" w:firstLineChars="200"/>
      <w:jc w:val="both"/>
    </w:pPr>
    <w:rPr>
      <w:rFonts w:ascii="等线 Light"/>
      <w:sz w:val="24"/>
      <w:szCs w:val="20"/>
      <w:lang w:val="en-US" w:eastAsia="zh-CN"/>
    </w:rPr>
  </w:style>
  <w:style w:type="paragraph" w:styleId="5">
    <w:name w:val="List Paragraph"/>
    <w:basedOn w:val="1"/>
    <w:uiPriority w:val="99"/>
    <w:pPr>
      <w:ind w:firstLine="420" w:firstLineChars="200"/>
    </w:pPr>
  </w:style>
  <w:style w:type="paragraph" w:customStyle="1" w:styleId="6">
    <w:name w:val="_Style 8"/>
    <w:basedOn w:val="1"/>
    <w:next w:val="1"/>
    <w:qFormat/>
    <w:uiPriority w:val="0"/>
    <w:pPr>
      <w:spacing w:line="360" w:lineRule="auto"/>
      <w:ind w:firstLine="480" w:firstLineChars="200"/>
      <w:jc w:val="both"/>
    </w:pPr>
    <w:rPr>
      <w:rFonts w:ascii="等线 Light"/>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1293</Words>
  <Characters>2911</Characters>
  <Lines>8</Lines>
  <Paragraphs>2</Paragraphs>
  <TotalTime>0</TotalTime>
  <ScaleCrop>false</ScaleCrop>
  <LinksUpToDate>false</LinksUpToDate>
  <CharactersWithSpaces>3473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2026-10-08T07:50:00Z</dcterms:created>
  <dc:creator>Susie</dc:creator>
  <cp:lastModifiedBy>竹你平安</cp:lastModifiedBy>
  <dcterms:modified xsi:type="dcterms:W3CDTF">2026-10-09T05:20:10Z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C517A7DAB28E41B79F00CCB452CB4C9D_13</vt:lpwstr>
  </property>
  <property fmtid="{D5CDD505-2E9C-101B-9397-08002B2CF9AE}" pid="4" name="KSOTemplateDocerSaveRecord">
    <vt:lpwstr>eyJoZGlkIjoiNDliZTI4YjM3YWEwNWQwNTI2ZjdjNzQ1ZWJlZGViZTkiLCJ1c2VySWQiOiIxMTM2NjE1MDY0In0=</vt:lpwstr>
  </property>
</Properties>
</file>